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TabStV 2010 — Ausnahmen von der Anmeldepflicht</w:t>
      </w:r>
    </w:p>
    <w:p>
      <w:r>
        <w:rPr>
          <w:color w:val="555555"/>
          <w:sz w:val="18"/>
        </w:rPr>
        <w:t xml:space="preserve">Tabaksteuerverordnung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Von der Anmeldepflicht nach § 33 Absatz 2 des Gesetzes ist der Handel mit Tabakwaren ausgenommen. Dies gilt nicht für die gewerbliche Einfuhr (§ 37).</w:t>
      </w:r>
    </w:p>
    <w:p>
      <w:r>
        <w:rPr>
          <w:color w:val="555555"/>
          <w:sz w:val="17"/>
        </w:rPr>
        <w:t xml:space="preserve">Zitiervorschlag: § 50 TabStV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https://recht.nulegal.eu/gesetze/TabStV%202010/50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