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TabStV 2010 — Erlass- und Erstattungsgebühren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Gebühr nach § 32 Absatz 5 des Gesetzes beträgt für jeden vollen Steuerzeichenbogen oder die entsprechende Anzahl gleicher Steuerzeichen und für jede Teilmenge eines Bogens:</w:t>
      </w:r>
    </w:p>
    <w:p>
      <w:pPr>
        <w:ind w:left="420"/>
      </w:pPr>
      <w:r>
        <w:t xml:space="preserve">1. 0,40 Euro, wenn nicht entwertete Steuerzeichen zurückgegeben werden,</w:t>
      </w:r>
    </w:p>
    <w:p>
      <w:pPr>
        <w:ind w:left="420"/>
      </w:pPr>
      <w:r>
        <w:t xml:space="preserve">2. 0,58 Euro, wenn Steuerzeichen vernichtet oder ungültig gemacht werden.</w:t>
      </w:r>
    </w:p>
    <w:p>
      <w:r>
        <w:t xml:space="preserve">(2) Die Gebühr wird nicht erhoben, wenn Steuerzeichen nicht der Bestellung entsprechen, technisch mangelhaft geliefert oder bei amtlichen Prüfungen beschädigt oder vernichtet worden sind.</w:t>
      </w:r>
    </w:p>
    <w:p>
      <w:r>
        <w:rPr>
          <w:color w:val="555555"/>
          <w:sz w:val="17"/>
        </w:rPr>
        <w:t xml:space="preserve">Zitiervorschlag: § 49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