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TabStV 2010 — Abgabe von Tabakwaren, zweckwidrige Verwendung</w:t>
      </w:r>
    </w:p>
    <w:p>
      <w:r>
        <w:rPr>
          <w:color w:val="555555"/>
          <w:sz w:val="18"/>
        </w:rPr>
        <w:t xml:space="preserve">Tabaksteuerverordnung</w:t>
      </w:r>
    </w:p>
    <w:p>
      <w:r>
        <w:rPr>
          <w:color w:val="555555"/>
          <w:sz w:val="18"/>
        </w:rPr>
        <w:t xml:space="preserve">Stand: 07.09.2021 (konsolidierte Textfassung, kein amtliches Inkrafttretensdatum)</w:t>
      </w:r>
    </w:p>
    <w:p>
      <w:r>
        <w:t xml:space="preserve">(1) Das Hauptzollamt kann dem Verwender auf Antrag gestatten, in Ausnahmefällen Tabakwaren im Rahmen der steuerfreien Verwendung an Steuerlagerinhaber oder an andere Verwender abzugeben. Der Verwender hat den Tabakwaren bei der Abgabe Handelspapiere beizufügen, die mit der Aufschrift</w:t>
      </w:r>
    </w:p>
    <w:p>
      <w:r>
        <w:rPr>
          <w:rFonts w:ascii="Courier New" w:hAnsi="Courier New"/>
          <w:sz w:val="17"/>
        </w:rPr>
        <w:t xml:space="preserve">„Unversteuerte Tabakwaren“</w:t>
      </w:r>
    </w:p>
    <w:p>
      <w:r>
        <w:t xml:space="preserve">versehen sind. Für die vollständige Zerstörung und den unwiederbringlichen Verlust gilt § 11, für die Vernichtung gilt § 51 entsprechend.</w:t>
      </w:r>
    </w:p>
    <w:p>
      <w:r>
        <w:t xml:space="preserve">(2) Die Steuererklärung nach § 31 Absatz 3 Satz 4 des Gesetzes ist nach amtlich vorgeschriebenem Vordruck abzugeben. Für die Überprüfung der Steuererklärung gilt § 36 Absatz 2 entsprechend.</w:t>
      </w:r>
    </w:p>
    <w:p>
      <w:r>
        <w:rPr>
          <w:color w:val="555555"/>
          <w:sz w:val="17"/>
        </w:rPr>
        <w:t xml:space="preserve">Zitiervorschlag: § 47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