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40h TabStV 2010 — Unregelmäßigkeiten während der Beförderung von Tabakwaren des steuerrechtlich freien Verkehrs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13.02.2023 (konsolidierte Textfassung, kein amtliches Inkrafttretensdatum)</w:t>
      </w:r>
    </w:p>
    <w:p>
      <w:r>
        <w:t xml:space="preserve">Für Fälle vollständiger Zerstörung oder unwiederbringlichen Gesamt- oder Teilverlusts von Tabakwaren gelten die §§ 11 und 30 entsprechend.</w:t>
      </w:r>
    </w:p>
    <w:p>
      <w:r>
        <w:rPr>
          <w:color w:val="555555"/>
          <w:sz w:val="17"/>
        </w:rPr>
        <w:t xml:space="preserve">Zitiervorschlag: § 40h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https://recht.nulegal.eu/gesetze/TabStV%202010/40h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