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40c TabStV 2010 — Erstellen des vereinfachten elektronischen Verwaltungsdokuments</w:t>
      </w:r>
    </w:p>
    <w:p>
      <w:r>
        <w:rPr>
          <w:color w:val="555555"/>
          <w:sz w:val="18"/>
        </w:rPr>
        <w:t xml:space="preserve">Tabaksteuerverordnung</w:t>
      </w:r>
    </w:p>
    <w:p>
      <w:r>
        <w:rPr>
          <w:color w:val="555555"/>
          <w:sz w:val="18"/>
        </w:rPr>
        <w:t xml:space="preserve">Stand: 13.02.2023 (konsolidierte Textfassung, kein amtliches Inkrafttretensdatum)</w:t>
      </w:r>
    </w:p>
    <w:p>
      <w:r>
        <w:t xml:space="preserve">(1) Sollen Tabakwaren des steuerrechtlich freien Verkehrs nach diesem Abschnitt aus dem Steuergebiet befördert werden</w:t>
      </w:r>
    </w:p>
    <w:p>
      <w:pPr>
        <w:ind w:left="420"/>
      </w:pPr>
      <w:r>
        <w:t xml:space="preserve">1. in einen anderen Mitgliedstaat oder</w:t>
      </w:r>
    </w:p>
    <w:p>
      <w:pPr>
        <w:ind w:left="420"/>
      </w:pPr>
      <w:r>
        <w:t xml:space="preserve">2. in das Steuergebiet, wenn die Beförderung durch das Gebiet eines anderen Mitgliedstaats erfolgt,</w:t>
      </w:r>
    </w:p>
    <w:p>
      <w:r>
        <w:t xml:space="preserve">so hat der zertifizierte Versender dem Hauptzollamt vor Beginn der Beförderung unter Verwendung des EDV-gestützten Beförderungs- und Kontrollsystems den Entwurf des vereinfachten elektronischen Verwaltungsdokuments nach amtlich vorgeschriebenem Datensatz zu übermitteln.</w:t>
      </w:r>
    </w:p>
    <w:p>
      <w:r>
        <w:t xml:space="preserve">(2) Für die Überprüfung der Angaben im Entwurf des vereinfachten elektronischen Verwaltungsdokuments gilt § 17 Absatz 2 entsprechend.</w:t>
      </w:r>
    </w:p>
    <w:p>
      <w:r>
        <w:t xml:space="preserve">(3) Während der Beförderung ist der eindeutige Referenzcode vom Beförderer mitzuführen und auf Anfrage mitzuteilen. Dies gilt auch bei der Beförderung von Tabakwaren aus anderen Mitgliedstaaten. In den Fällen des Absatzes 1 Nummer 2 ist ein Ausdruck des vereinfachten elektronischen Verwaltungsdokuments vom Beförderer mitzuführen.</w:t>
      </w:r>
    </w:p>
    <w:p>
      <w:r>
        <w:t xml:space="preserve">(4) Der zertifizierte Versender hat auf Verlangen des Hauptzollamts die Tabakwaren unverändert vorzuführen.</w:t>
      </w:r>
    </w:p>
    <w:p>
      <w:r>
        <w:t xml:space="preserve">(5) Das Hauptzollamt leitet im Fall des Absatzes 1 Nummer 2 das vereinfachte elektronische Verwaltungsdokument an den zertifizierten Empfänger weiter. Wird dem Hauptzollamt von den zuständigen Behörden eines anderen Mitgliedstaats ein vereinfachtes elektronisches Verwaltungsdokument übermittelt, so wird es vom Hauptzollamt an den zertifizierten Empfänger im Steuergebiet weitergeleitet.</w:t>
      </w:r>
    </w:p>
    <w:p>
      <w:r>
        <w:rPr>
          <w:color w:val="555555"/>
          <w:sz w:val="17"/>
        </w:rPr>
        <w:t xml:space="preserve">Zitiervorschlag: § 40c TabStV 2010</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https://recht.nulegal.eu/gesetze/TabStV%202010/40c</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