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40b TabStV 2010 — Teilnahme am EDV-gestützten Beförderungs- und Kontrollsystem; Ausfallverfahren und vereinfachte 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Die Generalzolldirektion legt durch eine Verfahrensanweisung fest, unter welchen Voraussetzungen und nach welchen Rahmenbedingungen Personen, die für Beförderungen von Tabakwaren des steuerrechtlich freien Verkehrs das vereinfachte elektronische Verwaltungsdokument verwenden, mit den Zollbehörden elektronisch Nachrichten über das EDV-gestützte Beförderungs- und Kontrollsystem nach § 23c Absatz 1 des Gesetzes austauschen. Des Weiteren legt die Generalzolldirektion in der Verfahrensanweisung für den Fall, dass das EDV-gestützte Beförderungs- und Kontrollsystem nicht zur Verfügung steht, die Voraussetzungen und Rahmenbedingungen für die Inanspruchnahme des Ausfallverfahrens fest. Im Übrigen gilt § 16.</w:t>
      </w:r>
    </w:p>
    <w:p>
      <w:r>
        <w:t xml:space="preserve">(2) Für häufig und regelmäßig stattfindende Beförderungen von Tabakwaren des steuerrechtlich freien Verkehrs zwischen den Gebieten von mehreren Mitgliedstaaten kann das Bundesministerium der Finanzen mit weiteren von den Beförderungen betroffenen Mitgliedstaaten Vereinbarungen schließen, um vereinfachte Verfahren für die Beförderung festzulegen. Dabei können auch Ausnahmen für die verpflichtende Verwendung eines vereinfachten elektronischen Verwaltungsdokuments vorgesehen werden.</w:t>
      </w:r>
    </w:p>
    <w:p>
      <w:r>
        <w:t xml:space="preserve">(3) Für die Beförderung von Tabakwaren des steuerrechtlich freien Verkehrs kann das Hauptzollamt auf Antrag und im Benehmen mit den zuständigen Steuerbehörden der betroffenen Mitgliedstaaten ein vereinfachtes Verfahren für die Beförderung, auch unter Verzicht auf die Verwendung eines vereinfachten elektronischen Verwaltungsdokuments, zulassen. Die Zulassung erfolgt im Rahmen der jeweiligen Erlaubnis.</w:t>
      </w:r>
    </w:p>
    <w:p>
      <w:r>
        <w:rPr>
          <w:color w:val="555555"/>
          <w:sz w:val="17"/>
        </w:rPr>
        <w:t xml:space="preserve">Zitiervorschlag: § 40b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