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TabStV 2010 — Beförderungen zu privaten Zwecken</w:t>
      </w:r>
    </w:p>
    <w:p>
      <w:r>
        <w:rPr>
          <w:color w:val="555555"/>
          <w:sz w:val="18"/>
        </w:rPr>
        <w:t xml:space="preserve">Tabaksteuerverordnung</w:t>
      </w:r>
    </w:p>
    <w:p>
      <w:r>
        <w:rPr>
          <w:color w:val="555555"/>
          <w:sz w:val="18"/>
        </w:rPr>
        <w:t xml:space="preserve">Stand: 13.02.2023 (konsolidierte Textfassung, kein amtliches Inkrafttretensdatum)</w:t>
      </w:r>
    </w:p>
    <w:p>
      <w:r>
        <w:t xml:space="preserve">(1) Werden mehr als 800 Zigaretten, 800 Stück erhitzter Tabak, 200 Zigarren, 400 Zigarillos oder ein Kilogramm Rauchtabak nach § 22 des Gesetzes zu privaten Zwecken in das Steuergebiet befördert, wird widerleglich vermutet, dass die Tabakwaren zu gewerblichen Zwecken in das Steuergebiet geliefert werden (§§ 23 bis 23c des Gesetzes).</w:t>
      </w:r>
    </w:p>
    <w:p>
      <w:r>
        <w:t xml:space="preserve">(2) Die Weitergabe von Tabakwaren, auch wenn sie unentgeltlich erfolgt, gilt unabhängig von der verbrachten Menge nicht als Eigenbedarf nach § 22 des Gesetzes.</w:t>
      </w:r>
    </w:p>
    <w:p>
      <w:r>
        <w:rPr>
          <w:color w:val="555555"/>
          <w:sz w:val="17"/>
        </w:rPr>
        <w:t xml:space="preserve">Zitiervorschlag: § 39 TabStV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https://recht.nulegal.eu/gesetze/TabStV%202010/39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