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TabStV 2010 — Gewerbliche Einfuhr</w:t>
      </w:r>
    </w:p>
    <w:p>
      <w:r>
        <w:rPr>
          <w:color w:val="555555"/>
          <w:sz w:val="18"/>
        </w:rPr>
        <w:t xml:space="preserve">Tabaksteuerverordnung</w:t>
      </w:r>
    </w:p>
    <w:p>
      <w:r>
        <w:rPr>
          <w:color w:val="555555"/>
          <w:sz w:val="18"/>
        </w:rPr>
        <w:t xml:space="preserve">Stand: 07.09.2021 (konsolidierte Textfassung, kein amtliches Inkrafttretensdatum)</w:t>
      </w:r>
    </w:p>
    <w:p>
      <w:r>
        <w:t xml:space="preserve">(1) Der Einführer hat die gewerbliche Einfuhr von Tabakwaren aus Drittländern oder Drittgebieten spätestens drei Wochen vor der erstmaligen Einfuhr beim Hauptzollamt nach amtlich vorgeschriebenem Vordruck anzuzeigen. Für einen Einführer, der sein Unternehmen an einem Ort außerhalb des Steuergebiets betreibt, oder für einen Einführer, der außerhalb des Steuergebiets wohnt, ist das Hauptzollamt Bielefeld zuständig. Für das Sortenverzeichnis gilt § 5 Absatz 3 entsprechend.</w:t>
      </w:r>
    </w:p>
    <w:p>
      <w:r>
        <w:t xml:space="preserve">(2) Bei der Änderung der dargestellten Verhältnisse und bei der Änderung des vorgelegten Sortenverzeichnisses gilt § 8, für das Belegheft und die Buchführung über die eingeführten Tabakwaren § 10. Der Einführer hat auf Verlangen des zuständigen Hauptzollamts eine Bestandsaufnahme von Tabakwaren durchzuführen; § 12 gilt entsprechend.</w:t>
      </w:r>
    </w:p>
    <w:p>
      <w:r>
        <w:t xml:space="preserve">(3) Das Hauptzollamt überprüft unbeschadet anlassbezogener Überprüfungsmaßnahmen regelmäßig, ob die Verpflichtungen aus den Absätzen 1 und 2 erfüllt werden. Die regelmäßigen Überprüfungsmaßnahmen werden innerhalb von drei Jahren nach der letzten Überprüfungsmaßnahme oder der Anmeldung durchgeführt.</w:t>
      </w:r>
    </w:p>
    <w:p>
      <w:r>
        <w:rPr>
          <w:color w:val="555555"/>
          <w:sz w:val="17"/>
        </w:rPr>
        <w:t xml:space="preserve">Zitiervorschlag: § 37 TabStV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https://recht.nulegal.eu/gesetze/TabStV%202010/37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