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TabStV 2010 — Berechnung des Steuerwerts und der Steuer</w:t>
      </w:r>
    </w:p>
    <w:p>
      <w:r>
        <w:rPr>
          <w:color w:val="555555"/>
          <w:sz w:val="18"/>
        </w:rPr>
        <w:t xml:space="preserve">Tabaksteuerverordnung</w:t>
      </w:r>
    </w:p>
    <w:p>
      <w:r>
        <w:rPr>
          <w:color w:val="555555"/>
          <w:sz w:val="18"/>
        </w:rPr>
        <w:t xml:space="preserve">Stand: 09.11.2022 (konsolidierte Textfassung, kein amtliches Inkrafttretensdatum)</w:t>
      </w:r>
    </w:p>
    <w:p>
      <w:r>
        <w:t xml:space="preserve">(1) Der Steuerwert des einzelnen Steuerzeichens wird aus der Steuer für eine Zigarette, eine Zigarre, ein Zigarillo oder 1 Kilogramm Rauchtabak und aus der Mengenangabe auf dem Steuerzeichen berechnet. Für erhitzten Tabak wird der Steuerwert des einzelnen Steuerzeichens aus der Steuer nach § 2 Absatz 1 Nummer 4 und 5 des Gesetzes und aus den Mengenangaben auf dem Steuerzeichen berechnet. Bei Substituten für Tabakwaren wird der Steuerwert des einzelnen Steuerzeichens aus der Steuer für einen Milliliter und der auf dem Steuerzeichen angegebenen Mengenangabe berechnet. Dabei wird die Steuer in Cent eingesetzt, und zwar für die Zigarette bis auf fünf, für die Zigarre und das Zigarillo bis auf vier Dezimalstellen und für das Kilogramm Rauchtabak bis auf eine Dezimalstelle. Bei Substituten für Tabakwaren wird die Steuer in Cent eingesetzt. Der Steuerwert wird in Cent bei Zigaretten und erhitztem Tabak bis auf vier, bei Zigarren, Zigarillos, Rauchtabak und Substituten für Tabakwaren bis auf drei Dezimalstellen berechnet.</w:t>
      </w:r>
    </w:p>
    <w:p>
      <w:r>
        <w:t xml:space="preserve">(2) Der Steuerwert des Steuerzeichenbogens wird in Euro ausgedrückt und bei Steuerzeichen für Zigaretten und für erhitzten Tabak bis auf vier, für Zigarren, Zigarillos, Rauchtabak und Substitute für Tabakwaren bis auf drei Dezimalstellen gekürzt.</w:t>
      </w:r>
    </w:p>
    <w:p>
      <w:r>
        <w:t xml:space="preserve">(3) Für die Berechnung der Steuer, die nicht durch Verwendung von Steuerzeichen zu entrichten ist oder nicht entrichtet worden ist, gilt Absatz 1 Satz 4 entsprechend.</w:t>
      </w:r>
    </w:p>
    <w:p>
      <w:r>
        <w:rPr>
          <w:color w:val="555555"/>
          <w:sz w:val="17"/>
        </w:rPr>
        <w:t xml:space="preserve">Zitiervorschlag: § 33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