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TabStV 2010 — Verpackungszwang, Kleinverkaufspackungen</w:t>
      </w:r>
    </w:p>
    <w:p>
      <w:r>
        <w:rPr>
          <w:color w:val="555555"/>
          <w:sz w:val="18"/>
        </w:rPr>
        <w:t xml:space="preserve">Tabaksteuerverordnung</w:t>
      </w:r>
    </w:p>
    <w:p>
      <w:r>
        <w:rPr>
          <w:color w:val="555555"/>
          <w:sz w:val="18"/>
        </w:rPr>
        <w:t xml:space="preserve">Stand: 01.07.2024 (konsolidierte Textfassung, kein amtliches Inkrafttretensdatum)</w:t>
      </w:r>
    </w:p>
    <w:p>
      <w:r>
        <w:t xml:space="preserve">(1) Eingeführte oder aus anderen Mitgliedstaaten in das Steuergebiet beförderte Tabakwaren, die weder zum Handel noch zur gewerblichen Verwendung bestimmt sind, sind vom Verpackungszwang befreit.</w:t>
      </w:r>
    </w:p>
    <w:p>
      <w:r>
        <w:t xml:space="preserve">(2) Das Hauptzollamt kann in einzelnen besonders gelagerten Fällen zur Vermeidung unbilliger Härten unter Widerrufsvorbehalt Ausnahmen vom Verpackungszwang zulassen. Das gilt nicht für Tabakwaren, die als steuerfreies Deputat (§ 44) abgegeben werden.</w:t>
      </w:r>
    </w:p>
    <w:p>
      <w:r>
        <w:t xml:space="preserve">(3) Packungen mit Tabakwaren, die verschiedenen Steuersätzen unterliegen, sind unzulässig. Auf allen Packungen muss deutlich lesbar die Menge angegeben sein. Ausgenommen sind Packungen mit Zigaretten und Rauchtabak, an denen Steuerzeichen angebracht sind.</w:t>
      </w:r>
    </w:p>
    <w:p>
      <w:r>
        <w:t xml:space="preserve">(4) Für Rauchtabak sind nur Packungen zulässig, deren Inhalte nicht auf Bruchteile eines Gramms lauten. Bei Substituten für Tabakwaren sind bei Packungsinhalten bis zu 5 Milliliter nur Packungen zulässig, deren Inhalte auf nicht mehr als eine Dezimalstelle lauten. Andere Packungen sind nur zulässig, wenn deren Inhalte nicht auf Bruchteile eines Milliliters lauten.</w:t>
      </w:r>
    </w:p>
    <w:p>
      <w:r>
        <w:t xml:space="preserve">(5) Die Packungen dürfen unterteilt sein. Allseitige Verpackungen von Teilmengen sind jedoch nur zulässig für</w:t>
      </w:r>
    </w:p>
    <w:p>
      <w:pPr>
        <w:ind w:left="420"/>
      </w:pPr>
      <w:r>
        <w:t xml:space="preserve">1. einzelne Zigarren oder Zigarillos,</w:t>
      </w:r>
    </w:p>
    <w:p>
      <w:pPr>
        <w:ind w:left="420"/>
      </w:pPr>
      <w:r>
        <w:t xml:space="preserve">2. mehrere Zigarren oder Zigarillos, soweit sie wegen ihrer besonderen Form so miteinander verflochten sind, dass sie nicht einzeln verpackt werden können,</w:t>
      </w:r>
    </w:p>
    <w:p>
      <w:pPr>
        <w:ind w:left="420"/>
      </w:pPr>
      <w:r>
        <w:t xml:space="preserve">3. jeweils zehn Zigarren oder Zigarillos mit gleich bleibendem Umfang in weichen Umschließungen, wenn ihr Gesamtpreis nicht auf Bruchteile eines Cents lautet,</w:t>
      </w:r>
    </w:p>
    <w:p>
      <w:pPr>
        <w:ind w:left="420"/>
      </w:pPr>
      <w:r>
        <w:t xml:space="preserve">4. höchstens drei Zigarren oder Zigarillos oder Mengen von 2,5 Gramm oder 5 Gramm Pfeifentabak, wenn die Unterteilungen unentgeltlich als Proben oder zu Werbezwecken an Verbraucherinnen und Verbraucher abgegeben werden sollen und entsprechend gekennzeichnet sind,</w:t>
      </w:r>
    </w:p>
    <w:p>
      <w:pPr>
        <w:ind w:left="420"/>
      </w:pPr>
      <w:r>
        <w:t xml:space="preserve">5. Substitute für Tabakwaren mit einer Menge von insgesamt bis zu 5 Millilitern.</w:t>
      </w:r>
    </w:p>
    <w:p>
      <w:r>
        <w:rPr>
          <w:color w:val="555555"/>
          <w:sz w:val="17"/>
        </w:rPr>
        <w:t xml:space="preserve">Zitiervorschlag: § 31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