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TabStV 2010 — Änderung des Bestimmungsorts oder des Empfängers von Tabakwaren im Ausfallverfahren</w:t>
      </w:r>
    </w:p>
    <w:p>
      <w:r>
        <w:rPr>
          <w:color w:val="555555"/>
          <w:sz w:val="18"/>
        </w:rPr>
        <w:t xml:space="preserve">Tabaksteuerverordnung</w:t>
      </w:r>
    </w:p>
    <w:p>
      <w:r>
        <w:rPr>
          <w:color w:val="555555"/>
          <w:sz w:val="18"/>
        </w:rPr>
        <w:t xml:space="preserve">Stand: 13.02.2023 (konsolidierte Textfassung, kein amtliches Inkrafttretensdatum)</w:t>
      </w:r>
    </w:p>
    <w:p>
      <w:r>
        <w:t xml:space="preserve">(1) Steht das EDV-gestützte Beförderungs- und Kontrollsystem nicht zur Verfügung, kann der Versender den Bestimmungsort oder den Empfänger der Tabakwaren während der Beförderung der Tabakwaren abweichend von § 21 nach amtlich vorgeschriebenem Vordruck gemäß Artikel 8 Absatz 2 der EMCS-Durchführungsverordnung ändern (Änderungsdokument). Satz 1 gilt auch für Tabakwaren, die nicht vom Empfänger aufgenommen oder übernommen oder nicht ausgeführt werden.</w:t>
      </w:r>
    </w:p>
    <w:p>
      <w:r>
        <w:t xml:space="preserve">(2) Um den Bestimmungsort oder den Empfänger der Tabakwaren zu ändern, hat der Versender das Änderungsdokument in zwei Exemplaren auszufertigen. Er hat die erste Ausfertigung zu seinen Aufzeichnungen zu nehmen. Die zweite Ausfertigung hat er dem Hauptzollamt unverzüglich vorzulegen. Er hat den Beförderer unverzüglich über die geänderten Angaben im elektronischen Verwaltungsdokument oder Ausfalldokument zu unterrichten. Der Beförderer hat die Angaben unverzüglich auf der Rückseite des mitgeführten Dokuments zu vermerken, wenn die Beförderung bereits mit einem Ausfalldokument begonnen und ihm nicht das Änderungsdokument übermittelt wurde.</w:t>
      </w:r>
    </w:p>
    <w:p>
      <w:r>
        <w:t xml:space="preserve">(3) Steht das EDV-gestützte Beförderungs- und Kontrollsystem wieder zur Verfügung, hat der Versender dem Hauptzollamt unverzüglich für alle im Ausfallverfahren durchgeführten Änderungen des Bestimmungsorts oder des Empfängers der Tabakwaren unter Verwendung des EDV-gestützten Beförderungs- und Kontrollsystems den Entwurf einer elektronischen Änderungsmeldung nach § 21 Absatz 2 zu übermitteln, der dieselben Daten wie das Änderungsdokument nach Absatz 1 enthält. § 21 Absatz 3 bis 6 gilt entsprechend.</w:t>
      </w:r>
    </w:p>
    <w:p>
      <w:r>
        <w:t xml:space="preserve">(4) Für die Unterrichtung über den Ausfall des EDV-gestützten Beförderungs- und Kontrollsystems, die Anzeigepflicht bei jeder Änderung des Bestimmungsorts oder des Empfängers der Tabakwaren sowie die Vorlage der zweiten Ausfertigung des Änderungsdokuments gilt § 25 Absatz 2 und § 25 Absatz 4 Satz 1 und 2 entsprechend.</w:t>
      </w:r>
    </w:p>
    <w:p>
      <w:r>
        <w:rPr>
          <w:color w:val="555555"/>
          <w:sz w:val="17"/>
        </w:rPr>
        <w:t xml:space="preserve">Zitiervorschlag: § 27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