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TabStV 2010 — Beförderungen im Steuergebiet in Betriebe von Verwendern</w:t>
      </w:r>
    </w:p>
    <w:p>
      <w:r>
        <w:rPr>
          <w:color w:val="555555"/>
          <w:sz w:val="18"/>
        </w:rPr>
        <w:t xml:space="preserve">Tabaksteuerverordnung</w:t>
      </w:r>
    </w:p>
    <w:p>
      <w:r>
        <w:rPr>
          <w:color w:val="555555"/>
          <w:sz w:val="18"/>
        </w:rPr>
        <w:t xml:space="preserve">Stand: 07.09.2021 (konsolidierte Textfassung, kein amtliches Inkrafttretensdatum)</w:t>
      </w:r>
    </w:p>
    <w:p>
      <w:r>
        <w:t xml:space="preserve">(1) Für Beförderungen von Tabakwaren unter Steueraussetzung in Betriebe von Verwendern nach § 31 Absatz 1 des Gesetzes hat der Versender im Steuergebiet das Begleitdokument zu verwenden. Anstelle des Begleitdokuments kann der Versender ein Handelsdokument verwenden, das alle in dem Begleitdokument enthaltenen Angaben aufweist. Er hat das Handelsdokument mit der Aufschrift</w:t>
      </w:r>
    </w:p>
    <w:p>
      <w:r>
        <w:rPr>
          <w:rFonts w:ascii="Courier New" w:hAnsi="Courier New"/>
          <w:sz w:val="17"/>
        </w:rPr>
        <w:t xml:space="preserve">„Begleitdokument fürdie Beförderung verbrauchsteuer-pflichtiger Waren unter Steueraussetzung“</w:t>
      </w:r>
    </w:p>
    <w:p>
      <w:r>
        <w:t xml:space="preserve">zu kennzeichnen.</w:t>
      </w:r>
    </w:p>
    <w:p>
      <w:r>
        <w:t xml:space="preserve">(2) Der Versender hat das Dokument vor Beginn der Beförderung in vier Exemplaren auszufertigen. Er hat die erste Ausfertigung zu seinen Aufzeichnungen zu nehmen. Der Beförderer der Tabakwaren hat während der Beförderung die zweite bis vierte Ausfertigung mitzuführen.</w:t>
      </w:r>
    </w:p>
    <w:p>
      <w:r>
        <w:t xml:space="preserve">(3) Der Verwender hat die zweite Ausfertigung als Beleg zu seinen Aufzeichnungen zu nehmen und dem Hauptzollamt unverzüglich die mit seinem Empfangsvermerk versehene dritte und vierte Ausfertigung vorzulegen. Dieses bestätigt die Übereinstimmung der beiden Ausfertigungen und die Empfangsberechtigung auf der dritten Ausfertigung (Rückschein). Der bestätigte Rückschein ist vom Verwender spätestens binnen zwei Wochen nach dem Empfang der Tabakwaren an den Versender zurückzusenden. Die vierte Ausfertigung verbleibt beim Hauptzollamt.</w:t>
      </w:r>
    </w:p>
    <w:p>
      <w:r>
        <w:t xml:space="preserve">(4) Zur Vereinfachung des Verfahrens kann das für den Versender zuständige Hauptzollamt auf Antrag des Versenders zulassen, dass dieser anstelle des Begleitdokuments nach Absatz 1 für die in einem Kalendermonat an denselben Verwender abgegebenen Tabakwaren eine Sammelanmeldung in dreifacher Ausfertigung unter Angabe der Lieferscheinnummern dem Verwender bis zum siebten Arbeitstag des folgenden Monats übersendet, wenn die einzelnen Sendungen von einem Lieferschein mit der deutlich sichtbaren Aufschrift</w:t>
      </w:r>
    </w:p>
    <w:p>
      <w:r>
        <w:rPr>
          <w:rFonts w:ascii="Courier New" w:hAnsi="Courier New"/>
          <w:sz w:val="17"/>
        </w:rPr>
        <w:t xml:space="preserve">„Unversteuerte Tabakwaren“</w:t>
      </w:r>
    </w:p>
    <w:p>
      <w:r>
        <w:t xml:space="preserve">begleitet werden. Der Verwender hat die Erstausfertigung zu seinen Aufzeichnungen zu nehmen und unverzüglich die mit seinem Empfangsvermerk versehene zweite und dritte Ausfertigung dem für ihn zuständigen Hauptzollamt vorzulegen. Das Hauptzollamt bestätigt die Übereinstimmung der beiden Ausfertigungen und die Empfangsberechtigung durch Stempelabdruck auf der zweiten Ausfertigung. Der Verwender hat als Rückschein die bestätigte Sammelanmeldung spätestens zwei Wochen nach dem Versandmonat an den Versender zurückzusenden. Die zurückgesandte Sammelanmeldung hat der Versender zu seinen Aufzeichnungen zu nehmen. Das für den Versender zuständige Hauptzollamt kann weitere Vereinfachungen des Verfahrens zulassen, wenn Steuerbelange dadurch nicht beeinträchtigt werden.</w:t>
      </w:r>
    </w:p>
    <w:p>
      <w:r>
        <w:t xml:space="preserve">(5) Das für den Versender zuständige Hauptzollamt kann auf Antrag in geeigneten Fällen, soweit dies der Vereinfachung des Verfahrens dient und Steuerbelange nicht gefährdet erscheinen, insbesondere zulassen, dass anstelle des Dokuments nach Absatz 1 Lieferscheine oder Rechnungen mit der Aufschrift</w:t>
      </w:r>
    </w:p>
    <w:p>
      <w:r>
        <w:rPr>
          <w:rFonts w:ascii="Courier New" w:hAnsi="Courier New"/>
          <w:sz w:val="17"/>
        </w:rPr>
        <w:t xml:space="preserve">„Lieferschein/Rechnung für die Beförderung von verbrauchsteuerpflichtigenWaren unter Steueraussetzung im Steuergebiet“</w:t>
      </w:r>
    </w:p>
    <w:p>
      <w:r>
        <w:t xml:space="preserve">verwendet werden.</w:t>
      </w:r>
    </w:p>
    <w:p>
      <w:r>
        <w:t xml:space="preserve">(6) Versender und Verwender haben auf Verlangen des Hauptzollamts die Tabakwaren unverändert vorzuführen. Dabei kann das Hauptzollamt bei zu versendenden Tabakwaren Verschlussmaßnahmen anordnen.</w:t>
      </w:r>
    </w:p>
    <w:p>
      <w:r>
        <w:rPr>
          <w:color w:val="555555"/>
          <w:sz w:val="17"/>
        </w:rPr>
        <w:t xml:space="preserve">Zitiervorschlag: § 24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