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TabStV 2010 — Belegheft, Buchführung</w:t>
      </w:r>
    </w:p>
    <w:p>
      <w:r>
        <w:rPr>
          <w:color w:val="555555"/>
          <w:sz w:val="18"/>
        </w:rPr>
        <w:t xml:space="preserve">Tabaksteuerverordnung</w:t>
      </w:r>
    </w:p>
    <w:p>
      <w:r>
        <w:rPr>
          <w:color w:val="555555"/>
          <w:sz w:val="18"/>
        </w:rPr>
        <w:t xml:space="preserve">Stand: 07.09.2021 (konsolidierte Textfassung, kein amtliches Inkrafttretensdatum)</w:t>
      </w:r>
    </w:p>
    <w:p>
      <w:r>
        <w:t xml:space="preserve">(1) Der Steuerlagerinhaber hat ein Belegheft zu führen. Das Hauptzollamt kann dazu Anordnungen treffen.</w:t>
      </w:r>
    </w:p>
    <w:p>
      <w:r>
        <w:t xml:space="preserve">(2) Der Steuerlagerinhaber hat über die Zu- und Abgänge für das Steuerlager oder bei mehreren Steuerlagern für jedes einzelne Steuerlager ein Lagerbuch nach amtlich vorgeschriebenem Vordruck zu führen. Das Hauptzollamt kann Anordnungen zur Lagerbuchführung treffen und weitere Aufzeichnungen verlangen. Es lässt auf Antrag anstelle des Lagerbuchs betriebliche Aufzeichnungen zu, wenn Steuerbelange dadurch nicht beeinträchtigt werden.</w:t>
      </w:r>
    </w:p>
    <w:p>
      <w:r>
        <w:t xml:space="preserve">(3) Der Steuerlagerinhaber hat die Zu- und Abgänge unverzüglich aufzuzeichnen. Das Hauptzollamt kann zulassen, dass insbesondere die Überführungen in den steuerrechtlich freien Verkehr in der Lagerbuchführung für längstens einen Kalendermonat zusammengefasst aufgezeichnet werden.</w:t>
      </w:r>
    </w:p>
    <w:p>
      <w:r>
        <w:rPr>
          <w:color w:val="555555"/>
          <w:sz w:val="17"/>
        </w:rPr>
        <w:t xml:space="preserve">Zitiervorschlag: § 10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