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TabStG 2009 — Schwarzhandel mit Zigaretten</w:t>
      </w:r>
    </w:p>
    <w:p>
      <w:r>
        <w:rPr>
          <w:color w:val="555555"/>
          <w:sz w:val="18"/>
        </w:rPr>
        <w:t xml:space="preserve">Tabaksteuergesetz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 Zigaretten in Verpackungen erwirbt, an denen ein gültiges Steuerzeichen nicht angebracht ist, soweit der einzelnen Tat nicht mehr als 1 000 Zigaretten zugrunde liegen. Die §§ 369 bis 374 der Abgabenordnung finden keine Anwendung.</w:t>
      </w:r>
    </w:p>
    <w:p>
      <w:r>
        <w:t xml:space="preserve">(2) Die Ordnungswidrigkeit kann mit einer Geldbuße geahndet werden.</w:t>
      </w:r>
    </w:p>
    <w:p>
      <w:r>
        <w:t xml:space="preserve">(3) Zigaretten, auf die sich eine Ordnungswidrigkeit nach Absatz 1 bezieht, können eingezogen werden. § 23 des Gesetzes über Ordnungswidrigkeiten ist anzuwenden.</w:t>
      </w:r>
    </w:p>
    <w:p>
      <w:r>
        <w:t xml:space="preserve">(4) Verwaltungsbehörde im Sinn des § 36 Absatz 1 Nummer 1 des Gesetzes über Ordnungswidrigkeiten ist das Hauptzollamt.</w:t>
      </w:r>
    </w:p>
    <w:p>
      <w:r>
        <w:t xml:space="preserve">(5) Die Befugnis nach § 56 des Gesetzes über Ordnungswidrigkeiten steht auch Beamten des Polizeidienstes und den hierzu ermächtigten Beamten des Zollfahndungsdienstes zu, die eine Ordnungswidrigkeit nach Absatz 1 entdecken oder im ersten Zugriff verfolgen und sich ausweisen.</w:t>
      </w:r>
    </w:p>
    <w:p>
      <w:r>
        <w:rPr>
          <w:color w:val="555555"/>
          <w:sz w:val="17"/>
        </w:rPr>
        <w:t xml:space="preserve">Zitiervorschlag: § 37 TabStG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https://recht.nulegal.eu/gesetze/TabStG%202009/37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