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TabStG 2009 — Steueraufsicht</w:t>
      </w:r>
    </w:p>
    <w:p>
      <w:r>
        <w:rPr>
          <w:color w:val="555555"/>
          <w:sz w:val="18"/>
        </w:rPr>
        <w:t xml:space="preserve">Tabaksteuergesetz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Unbeschadet des § 209 Absatz 1 und 2 der Abgabenordnung unterliegen der Steueraufsicht:</w:t>
      </w:r>
    </w:p>
    <w:p>
      <w:pPr>
        <w:ind w:left="420"/>
      </w:pPr>
      <w:r>
        <w:t xml:space="preserve">1. der Handel mit Tabakwaren,</w:t>
      </w:r>
    </w:p>
    <w:p>
      <w:pPr>
        <w:ind w:left="420"/>
      </w:pPr>
      <w:r>
        <w:t xml:space="preserve">2. das Aufreißen von Zigaretten, Zigarren und Zigarillos in Steuerlagern und die Vernichtung und Vergällung von Tabakwaren, mit Ausnahme von versteuerten Tabakwaren im Handel,</w:t>
      </w:r>
    </w:p>
    <w:p>
      <w:pPr>
        <w:ind w:left="420"/>
      </w:pPr>
      <w:r>
        <w:t xml:space="preserve">3. die Vernichtung und das Ungültigmachen von Steuerzeichen.</w:t>
      </w:r>
    </w:p>
    <w:p>
      <w:r>
        <w:t xml:space="preserve">(2) Wer eine der in Absatz 1 Nummer 1 bis 3 genannten Tätigkeiten ausüben will, hat dies dem Hauptzollamt vorher anzumelden.</w:t>
      </w:r>
    </w:p>
    <w:p>
      <w:r>
        <w:t xml:space="preserve">(3) Tabakwaren und deren Umschließungen können über die in § 215 der Abgabenordnung genannten Fälle hinaus sichergestellt werden, wenn sie für das Steuergebiet bestimmt sind, durch einen Amtsträger vorgefunden werden und nicht den Vorschriften dieses Gesetzes entsprechen.</w:t>
      </w:r>
    </w:p>
    <w:p>
      <w:r>
        <w:t xml:space="preserve">(4) Das Bundesministerium der Finanzen wird ermächtigt, durch Rechtsverordnung ohne Zustimmung des Bundesrates Vorschriften über den Zeitpunkt, die Form und den Inhalt der Anmeldung nach Absatz 2 zu erlassen und zur Vereinfachung der Verwaltung Ausnahmen von der Anmeldepflicht zuzulassen.</w:t>
      </w:r>
    </w:p>
    <w:p>
      <w:r>
        <w:rPr>
          <w:color w:val="555555"/>
          <w:sz w:val="17"/>
        </w:rPr>
        <w:t xml:space="preserve">Zitiervorschlag: § 33 TabStG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https://recht.nulegal.eu/gesetze/TabStG%202009/33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