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TabStG 2009 — Ausspielung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Außer Kraft: § 29 ist seit 01.01.2021 nicht mehr im TabStG 2009 enthalten. Angezeigt wird die letzte bekannte Fassung, Stand 10.06.2019.</w:t>
      </w:r>
    </w:p>
    <w:p>
      <w:r>
        <w:t xml:space="preserve">Tabakwaren dürfen nicht gewerbsmäßig ausgespielt werden.</w:t>
      </w:r>
    </w:p>
    <w:p>
      <w:r>
        <w:rPr>
          <w:color w:val="555555"/>
          <w:sz w:val="17"/>
        </w:rPr>
        <w:t xml:space="preserve">Zitiervorschlag: § 29 TabStG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