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TabStG 2009 — Preisnachlässe und -ermäßigungen</w:t>
      </w:r>
    </w:p>
    <w:p>
      <w:r>
        <w:rPr>
          <w:color w:val="555555"/>
          <w:sz w:val="18"/>
        </w:rPr>
        <w:t xml:space="preserve">Tabaksteuergesetz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dem Verbot des § 26 Absatz 1 sind ausgenommen</w:t>
      </w:r>
    </w:p>
    <w:p>
      <w:pPr>
        <w:ind w:left="420"/>
      </w:pPr>
      <w:r>
        <w:t xml:space="preserve">1. ein Preisnachlass bis zu 3 Prozent bei der Abgabe von Zigarren oder Zigarillos in vollen Packungen, wenn der Preisnachlass handelsüblich ist;</w:t>
      </w:r>
    </w:p>
    <w:p>
      <w:pPr>
        <w:ind w:left="420"/>
      </w:pPr>
      <w:r>
        <w:t xml:space="preserve">2. Preisermäßigungen, die sich als notwendig erweisen,</w:t>
      </w:r>
    </w:p>
    <w:p>
      <w:pPr>
        <w:ind w:left="780"/>
      </w:pPr>
      <w:r>
        <w:t xml:space="preserve">a) um dem Hersteller oder dem Händler im Fall des Insolvenzverfahrens oder der Einstellung der Herstellung oder des Handels die Räumung der Bestände zu ermöglichen,</w:t>
      </w:r>
    </w:p>
    <w:p>
      <w:pPr>
        <w:ind w:left="780"/>
      </w:pPr>
      <w:r>
        <w:t xml:space="preserve">b) um die Verwertung von Tabakwaren durch Behörden oder Gerichtsvollzieher zu ermöglichen oder</w:t>
      </w:r>
    </w:p>
    <w:p>
      <w:pPr>
        <w:ind w:left="780"/>
      </w:pPr>
      <w:r>
        <w:t xml:space="preserve">c) weil sich der Wert der Tabakwaren gemindert hat.</w:t>
      </w:r>
    </w:p>
    <w:p>
      <w:r>
        <w:t xml:space="preserve">Die Preisermäßigung bedarf der Genehmigung des Bundesministeriums der Finanzen oder der von ihm bestimmten Stellen.</w:t>
      </w:r>
    </w:p>
    <w:p>
      <w:r>
        <w:rPr>
          <w:color w:val="555555"/>
          <w:sz w:val="17"/>
        </w:rPr>
        <w:t xml:space="preserve">Zitiervorschlag: § 27 TabStG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https://recht.nulegal.eu/gesetze/TabStG%202009/27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