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23d TabStG 2009 — Versandhandel</w:t>
      </w:r>
    </w:p>
    <w:p>
      <w:r>
        <w:rPr>
          <w:color w:val="555555"/>
          <w:sz w:val="18"/>
        </w:rPr>
        <w:t xml:space="preserve">Tabaksteuergesetz</w:t>
      </w:r>
    </w:p>
    <w:p>
      <w:r>
        <w:rPr>
          <w:color w:val="555555"/>
          <w:sz w:val="18"/>
        </w:rPr>
        <w:t xml:space="preserve">Stand: 13.02.2023 (konsolidierte Textfassung, kein amtliches Inkrafttretensdatum)</w:t>
      </w:r>
    </w:p>
    <w:p>
      <w:r>
        <w:t xml:space="preserve">(1) Versandhandel betreibt, wer in Ausübung einer selbstständigen wirtschaftlichen Tätigkeit Tabakwaren des steuerrechtlich freien Verkehrs aus dem Steuergebiet an Privatpersonen in anderen Mitgliedstaaten liefert und den Versand der Tabakwaren an den Erwerber selbst durchführt oder durch andere durchführen lässt (Versandhändler). Als Privatpersonen gelten alle Erwerber, die sich gegenüber dem Versandhändler nicht als solche Abnehmer ausweisen, deren innergemeinschaftliche Erwerbe nach den Vorschriften des Umsatzsteuergesetzes der Umsatzsteuer unterliegen.</w:t>
      </w:r>
    </w:p>
    <w:p>
      <w:r>
        <w:t xml:space="preserve">(2) Wer als Versandhändler mit Sitz im Steuergebiet Tabakwaren des steuerrechtlich freien Verkehrs in einen anderen Mitgliedstaat liefern will, hat dies vorher dem zuständigen Hauptzollamt anzuzeigen. Der Versandhändler hat Aufzeichnungen über die gelieferten Tabakwaren zu führen und die von dem Mitgliedstaat geforderten Voraussetzungen für die Lieferung zu erfüllen.</w:t>
      </w:r>
    </w:p>
    <w:p>
      <w:r>
        <w:t xml:space="preserve">(3) Das Bundesministerium der Finanzen wird ermächtigt, durch Rechtsverordnung ohne Zustimmung des Bundesrates zur Sicherung des Steueraufkommens und zur Wahrung der Gleichmäßigkeit der Besteuerung Vorschriften zu Absatz 2 zu erlassen.</w:t>
      </w:r>
    </w:p>
    <w:p>
      <w:r>
        <w:rPr>
          <w:color w:val="555555"/>
          <w:sz w:val="17"/>
        </w:rPr>
        <w:t xml:space="preserve">Zitiervorschlag: § 23d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https://recht.nulegal.eu/gesetze/TabStG%202009/23d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