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23c TabStG 2009 — Beförderungen</w:t>
      </w:r>
    </w:p>
    <w:p>
      <w:r>
        <w:rPr>
          <w:color w:val="555555"/>
          <w:sz w:val="18"/>
        </w:rPr>
        <w:t xml:space="preserve">Tabaksteuergesetz</w:t>
      </w:r>
    </w:p>
    <w:p>
      <w:r>
        <w:rPr>
          <w:color w:val="555555"/>
          <w:sz w:val="18"/>
        </w:rPr>
        <w:t xml:space="preserve">Stand: 13.02.2023 (konsolidierte Textfassung, kein amtliches Inkrafttretensdatum)</w:t>
      </w:r>
    </w:p>
    <w:p>
      <w:r>
        <w:t xml:space="preserve">(1) Tabakwaren des steuerrechtlich freien Verkehrs gelten, soweit in diesem Gesetz oder in den dazu ergangenen Rechtsverordnungen keine Ausnahmen vorgesehen sind, nur dann als ordnungsgemäß zu gewerblichen Zwecken nach diesem Abschnitt geliefert, wenn die Beförderung mit einem vereinfachten elektronischen Verwaltungsdokument nach Artikel 36 der Systemrichtlinie erfolgt.</w:t>
      </w:r>
    </w:p>
    <w:p>
      <w:r>
        <w:t xml:space="preserve">(2) Tabakwaren dürfen in den Fällen des § 23 Absatz 1 befördert werden</w:t>
      </w:r>
    </w:p>
    <w:p>
      <w:pPr>
        <w:ind w:left="420"/>
      </w:pPr>
      <w:r>
        <w:t xml:space="preserve">1. aus dem Steuergebiet in andere Mitgliedstaaten;</w:t>
      </w:r>
    </w:p>
    <w:p>
      <w:pPr>
        <w:ind w:left="420"/>
      </w:pPr>
      <w:r>
        <w:t xml:space="preserve">2. aus anderen Mitgliedstaaten in das Steuergebiet;</w:t>
      </w:r>
    </w:p>
    <w:p>
      <w:pPr>
        <w:ind w:left="420"/>
      </w:pPr>
      <w:r>
        <w:t xml:space="preserve">3. durch das Steuergebiet.</w:t>
      </w:r>
    </w:p>
    <w:p>
      <w:r>
        <w:t xml:space="preserve">(3) Das Verfahren der Beförderung von einem zertifizierten Versender zu einem zertifizierten Empfänger nach diesem Abschnitt ist auch dann anzuwenden, wenn Tabakwaren, die für einen anderen Bestimmungsort im Steuergebiet bestimmt sind, über einen anderen Mitgliedstaat befördert werden.</w:t>
      </w:r>
    </w:p>
    <w:p>
      <w:r>
        <w:t xml:space="preserve">(4) Die Tabakwaren sind unverzüglich</w:t>
      </w:r>
    </w:p>
    <w:p>
      <w:pPr>
        <w:ind w:left="420"/>
      </w:pPr>
      <w:r>
        <w:t xml:space="preserve">1. vom zertifizierten Versender oder vom zertifizierten Empfänger, wenn dieser im Steuergebiet Besitz an den Tabakwaren erlangt hat, aus dem Steuergebiet in den anderen Mitgliedstaat zu befördern oder</w:t>
      </w:r>
    </w:p>
    <w:p>
      <w:pPr>
        <w:ind w:left="420"/>
      </w:pPr>
      <w:r>
        <w:t xml:space="preserve">2. vom zertifizierten Empfänger in seinen Betrieb aufzunehmen oder an einem anderen zugelassenen Ort im Steuergebiet zu übernehmen.</w:t>
      </w:r>
    </w:p>
    <w:p>
      <w:r>
        <w:t xml:space="preserve">(5) In den Fällen des Absatzes 2 Nummer 1 beginnt die Beförderung, wenn die Tabakwaren den Betrieb des zertifizierten Versenders oder einen anderen zugelassenen Ort im Steuergebiet verlassen. In den Fällen des Absatzes 2 Nummer 2 endet die Beförderung mit der Aufnahme durch den zertifizierten Empfänger in seinem Betrieb oder an einem anderen zugelassenen Ort im Steuergebiet.</w:t>
      </w:r>
    </w:p>
    <w:p>
      <w:r>
        <w:t xml:space="preserve">(6) Das Bundesministerium der Finanzen wird ermächtigt, durch Rechtsverordnung ohne Zustimmung des Bundesrates Folgendes zu regeln:</w:t>
      </w:r>
    </w:p>
    <w:p>
      <w:pPr>
        <w:ind w:left="420"/>
      </w:pPr>
      <w:r>
        <w:t xml:space="preserve">1. das Verfahren der Beförderung von Tabakwaren des steuerrechtlich freien Verkehrs entsprechend den Artikeln 35 bis 42 der Systemrichtlinie und entsprechend den dazu ergangenen Verordnungen sowie</w:t>
      </w:r>
    </w:p>
    <w:p>
      <w:pPr>
        <w:ind w:left="420"/>
      </w:pPr>
      <w:r>
        <w:t xml:space="preserve">2. das Verfahren der Übermittlung des vereinfachten elektronischen Verwaltungsdokuments und den dazu erforderlichen Datenaustausch.</w:t>
      </w:r>
    </w:p>
    <w:p>
      <w:r>
        <w:t xml:space="preserve">Dabei kann das Bundesministerium der Finanzen</w:t>
      </w:r>
    </w:p>
    <w:p>
      <w:pPr>
        <w:ind w:left="420"/>
      </w:pPr>
      <w:r>
        <w:t xml:space="preserve">1. das Verfahren nach Absatz 1 abweichend bestimmen;</w:t>
      </w:r>
    </w:p>
    <w:p>
      <w:pPr>
        <w:ind w:left="420"/>
      </w:pPr>
      <w:r>
        <w:t xml:space="preserve">2. zur Sicherung des Steueraufkommens Vorschriften zu den Absätzen 1 bis 5 erlassen;</w:t>
      </w:r>
    </w:p>
    <w:p>
      <w:pPr>
        <w:ind w:left="420"/>
      </w:pPr>
      <w:r>
        <w:t xml:space="preserve">3. durch Vereinbarungen mit anderen Mitgliedstaaten ein vom Regelverfahren abweichendes vereinfachtes Verfahren zulassen; dabei können auch Ausnahmen von der verpflichtenden Verwendung eines vereinfachten elektronischen Verwaltungsdokuments vorgesehen werden.</w:t>
      </w:r>
    </w:p>
    <w:p>
      <w:r>
        <w:rPr>
          <w:color w:val="555555"/>
          <w:sz w:val="17"/>
        </w:rPr>
        <w:t xml:space="preserve">Zitiervorschlag: § 23c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https://recht.nulegal.eu/gesetze/TabStG%202009/23c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