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23b TabStG 2009 — Zertifizierte Versender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Zertifizierte Versender sind Personen, die Tabakwaren des steuerrechtlich freien Verkehrs zu gewerblichen Zwecken aus ihrem Betrieb im Steuergebiet oder von einem anderen Ort im Steuergebiet in einen anderen Mitgliedstaat</w:t>
      </w:r>
    </w:p>
    <w:p>
      <w:pPr>
        <w:ind w:left="420"/>
      </w:pPr>
      <w:r>
        <w:t xml:space="preserve">1. nicht nur gelegentlich oder</w:t>
      </w:r>
    </w:p>
    <w:p>
      <w:pPr>
        <w:ind w:left="420"/>
      </w:pPr>
      <w:r>
        <w:t xml:space="preserve">2. im Einzelfall</w:t>
      </w:r>
    </w:p>
    <w:p>
      <w:r>
        <w:t xml:space="preserve">liefern dürfen. Satz 1 gilt auch für</w:t>
      </w:r>
    </w:p>
    <w:p>
      <w:pPr>
        <w:ind w:left="420"/>
      </w:pPr>
      <w:r>
        <w:t xml:space="preserve">1. Lieferungen über einen anderen Mitgliedstaat zu einem zertifizierten Empfänger im Steuergebiet oder</w:t>
      </w:r>
    </w:p>
    <w:p>
      <w:pPr>
        <w:ind w:left="420"/>
      </w:pPr>
      <w:r>
        <w:t xml:space="preserve">2. Lieferungen durch Einrichtungen des öffentlichen Rechts.</w:t>
      </w:r>
    </w:p>
    <w:p>
      <w:r>
        <w:t xml:space="preserve">(2) Wer Tabakwaren nach Absatz 1 Satz 1 liefern will, bedarf einer Erlaubnis. Die Erlaubnis wird auf Antrag unter Widerrufsvorbehalt Personen erteilt,</w:t>
      </w:r>
    </w:p>
    <w:p>
      <w:pPr>
        <w:ind w:left="420"/>
      </w:pPr>
      <w:r>
        <w:t xml:space="preserve">1. gegen deren steuerliche Zuverlässigkeit keine Bedenken bestehen und</w:t>
      </w:r>
    </w:p>
    <w:p>
      <w:pPr>
        <w:ind w:left="420"/>
      </w:pPr>
      <w:r>
        <w:t xml:space="preserve">2. die, soweit sie nach dem Handelsgesetzbuch oder der Abgabenordnung dazu verpflichtet sind, ordnungsmäßig kaufmännische Bücher führen und rechtzeitig Jahresabschlüsse aufstellen.</w:t>
      </w:r>
    </w:p>
    <w:p>
      <w:r>
        <w:t xml:space="preserve">In den Fällen des Absatzes 1 Satz 1 Nummer 2 ist die Erlaubnis zu beschränken auf</w:t>
      </w:r>
    </w:p>
    <w:p>
      <w:pPr>
        <w:ind w:left="420"/>
      </w:pPr>
      <w:r>
        <w:t xml:space="preserve">1. eine bestimmte Menge,</w:t>
      </w:r>
    </w:p>
    <w:p>
      <w:pPr>
        <w:ind w:left="420"/>
      </w:pPr>
      <w:r>
        <w:t xml:space="preserve">2. einen einzigen zertifizierten Empfänger und</w:t>
      </w:r>
    </w:p>
    <w:p>
      <w:pPr>
        <w:ind w:left="420"/>
      </w:pPr>
      <w:r>
        <w:t xml:space="preserve">3. einen bestimmten Zeitraum.</w:t>
      </w:r>
    </w:p>
    <w:p>
      <w:r>
        <w:t xml:space="preserve">Die Sätze 2 und 3 gelten nicht für die Erlaubnis, die einer Einrichtung des öffentlichen Rechts erteilt wird. Unbeschadet des Absatzes 1 Satz 1 kann eine Erlaubnis nach Absatz 1 Satz 1 Nummer 2 auch Privatpersonen erteilt werden.</w:t>
      </w:r>
    </w:p>
    <w:p>
      <w:r>
        <w:t xml:space="preserve">(3) Die Erlaubnis ist zu widerrufen, wenn eine der in Absatz 2 Satz 2 genannten Voraussetzungen nicht mehr erfüllt ist.</w:t>
      </w:r>
    </w:p>
    <w:p>
      <w:r>
        <w:t xml:space="preserve">(4) Steuerlagerinhaber oder registrierte Versender werden nach entsprechender Anzeige als zertifizierte Versender zugelassen.</w:t>
      </w:r>
    </w:p>
    <w:p>
      <w:r>
        <w:t xml:space="preserve">(5) Das Bundesministerium der Finanzen wird ermächtigt, durch Rechtsverordnung ohne Zustimmung des Bundesrates zur Sicherung des Steueraufkommens Vorschriften zu den Absätzen 1, 2 und 4, insbesondere zu dem Erlaubnisverfahren sowie zu Erleichterungen zu erlassen.</w:t>
      </w:r>
    </w:p>
    <w:p>
      <w:r>
        <w:rPr>
          <w:color w:val="555555"/>
          <w:sz w:val="17"/>
        </w:rPr>
        <w:t xml:space="preserve">Zitiervorschlag: § 23b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https://recht.nulegal.eu/gesetze/TabStG%202009/23b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