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1b TabStG 2009 — Substitute für Tabakwaren</w:t>
      </w:r>
    </w:p>
    <w:p>
      <w:r>
        <w:rPr>
          <w:color w:val="555555"/>
          <w:sz w:val="18"/>
        </w:rPr>
        <w:t xml:space="preserve">Tabaksteuergesetz</w:t>
      </w:r>
    </w:p>
    <w:p>
      <w:r>
        <w:rPr>
          <w:color w:val="555555"/>
          <w:sz w:val="18"/>
        </w:rPr>
        <w:t xml:space="preserve">Stand: 10.11.2022 (konsolidierte Textfassung, kein amtliches Inkrafttretensdatum)</w:t>
      </w:r>
    </w:p>
    <w:p>
      <w:r>
        <w:t xml:space="preserve">Soweit nicht anders bestimmt, gelten die Vorschriften dieses Gesetzes für Tabakwaren sowie die dazu ergangenen Durchführungsbestimmungen auch für Substitute für Tabakwaren. Für die Beförderung von Substituten für Tabakwaren unter Steueraussetzung im und aus dem Steuergebiet, sowie für die Beförderung von Substituten für Tabakwaren des zollrechtlich freien Verkehrs aus anderen, in andere oder über andere Mitgliedstaaten mit Ausnahme des Versandhandels gelten die diesbezüglichen Vorschriften für die Kaffeesteuer nach dem Kaffeesteuergesetz sowie den dazu ergangenen Durchführungsbestimmungen sinngemäß.</w:t>
      </w:r>
    </w:p>
    <w:p>
      <w:r>
        <w:rPr>
          <w:color w:val="555555"/>
          <w:sz w:val="17"/>
        </w:rPr>
        <w:t xml:space="preserve">Zitiervorschlag: § 1b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