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TabStG 2009 — Verwendung von Steuerzeichen, Steueranmeldung, Steuererklärung</w:t>
      </w:r>
    </w:p>
    <w:p>
      <w:r>
        <w:rPr>
          <w:color w:val="555555"/>
          <w:sz w:val="18"/>
        </w:rPr>
        <w:t xml:space="preserve">Tabaksteuergesetz</w:t>
      </w:r>
    </w:p>
    <w:p>
      <w:r>
        <w:rPr>
          <w:color w:val="555555"/>
          <w:sz w:val="18"/>
        </w:rPr>
        <w:t xml:space="preserve">Stand: 13.02.2023 (konsolidierte Textfassung, kein amtliches Inkrafttretensdatum)</w:t>
      </w:r>
    </w:p>
    <w:p>
      <w:r>
        <w:t xml:space="preserve">(1) Für Tabakwaren ist die Steuer durch Verwendung von Steuerzeichen zu entrichten. Die Verwendung umfasst das Entwerten und das Anbringen der Steuerzeichen an den Kleinverkaufspackungen. Die Steuerzeichen müssen verwendet sein, wenn die Steuer entsteht.</w:t>
      </w:r>
    </w:p>
    <w:p>
      <w:r>
        <w:t xml:space="preserve">(2) Der Hersteller oder der Einführer hat die Steuerzeichen nach amtlich vorgeschriebenem Vordruck zu bestellen und darin die Steuerzeichenschuld selbst zu berechnen (Steueranmeldung). Dem Hersteller ist die Person gleichgestellt, die nach § 3 Absatz 2 zur Bestimmung des Kleinverkaufspreises berechtigt ist. Bei Substituten für Tabakwaren ist dem Hersteller auch die Person gleichgestellt, welche Substitute für Tabakwaren aus einem anderen Mitgliedstaat zu gewerblichen Zwecken bezieht. Die Steuerzeichenschuld entsteht mit dem Bezug der Steuerzeichen in Höhe ihres Steuerwerts. Werden die Steuerzeichen übersandt, gilt als Tag des Bezugs der zweite Werktag nach der Absendung. Steuerzeichenschuldner ist der Bezieher. Auf die Steuerzeichenschuld sind die für Verbrauchsteuern geltenden Vorschriften der Abgabenordnung sinngemäß anzuwenden. Für noch nicht an Kleinverkaufspackungen angebrachte Steuerzeichen gilt § 76 der Abgabenordnung sinngemäß.</w:t>
      </w:r>
    </w:p>
    <w:p>
      <w:r>
        <w:t xml:space="preserve">(3) Steuerschuldner nach § 15 Absatz 6 Satz 1 Nummer 1 zweite Alternative, Nummer 2 und 4 sowie Satz 3 haben unverzüglich eine Steuererklärung abzugeben. Dies gilt auch, wenn im Fall des § 15 Absatz 6 Satz 1 Nummer 3 Tabakwaren ohne gültige Steuerzeichen empfangen werden und auch, wenn im Fall des Bezugs zu gewerblichen Zwecken aus anderen Mitgliedstaaten Substitute für Tabakwaren ohne gültige Steuerzeichen empfangen werden.</w:t>
      </w:r>
    </w:p>
    <w:p>
      <w:r>
        <w:t xml:space="preserve">(4) Das Bundesministerium der Finanzen wird ermächtigt, durch Rechtsverordnung ohne Zustimmung des Bundesrates</w:t>
      </w:r>
    </w:p>
    <w:p>
      <w:pPr>
        <w:ind w:left="420"/>
      </w:pPr>
      <w:r>
        <w:t xml:space="preserve">1. zur Sicherung des Steueraufkommens und zur Wahrung der Gleichmäßigkeit der Besteuerung die Einzelheiten zur Steueranmeldung und Steuererklärung sowie über die Entrichtung der Steuerzeichenschuld zu bestimmen,</w:t>
      </w:r>
    </w:p>
    <w:p>
      <w:pPr>
        <w:ind w:left="420"/>
      </w:pPr>
      <w:r>
        <w:t xml:space="preserve">2. Vorschriften über Berechnung des Steuerwerts, Bezug, Lieferung und Verwendung der Steuerzeichen sowie über das Besteuerungsverfahren zu erlassen,</w:t>
      </w:r>
    </w:p>
    <w:p>
      <w:pPr>
        <w:ind w:left="420"/>
      </w:pPr>
      <w:r>
        <w:t xml:space="preserve">3. zur Vereinfachung der Verwaltung oder aus wirtschaftlichen Gründen Ausnahmen von der Entrichtung der Steuer durch Steuerzeichenverwendung zuzulassen, zu bestimmen, dass in einzelnen besonders gelagerten Fällen zur Vermeidung unbilliger Härten Ausnahmen im Verwaltungsweg gemacht werden dürfen, und die Besteuerung zu regeln.</w:t>
      </w:r>
    </w:p>
    <w:p>
      <w:r>
        <w:rPr>
          <w:color w:val="555555"/>
          <w:sz w:val="17"/>
        </w:rPr>
        <w:t xml:space="preserve">Zitiervorschlag: § 17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