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TabStG 2009 — Verpackungszwang</w:t>
      </w:r>
    </w:p>
    <w:p>
      <w:r>
        <w:rPr>
          <w:color w:val="555555"/>
          <w:sz w:val="18"/>
        </w:rPr>
        <w:t xml:space="preserve">Tabaksteuergesetz</w:t>
      </w:r>
    </w:p>
    <w:p>
      <w:r>
        <w:rPr>
          <w:color w:val="555555"/>
          <w:sz w:val="18"/>
        </w:rPr>
        <w:t xml:space="preserve">Stand: 10.06.2019 (konsolidierte Textfassung, kein amtliches Inkrafttretensdatum)</w:t>
      </w:r>
    </w:p>
    <w:p>
      <w:r>
        <w:t xml:space="preserve">(1) Tabakwaren dürfen nur in geschlossenen, verkaufsfertigen Kleinverkaufspackungen in den steuerrechtlich freien Verkehr überführt werden.</w:t>
      </w:r>
    </w:p>
    <w:p>
      <w:r>
        <w:t xml:space="preserve">(2) Das Bundesministerium der Finanzen wird ermächtigt, durch Rechtsverordnung ohne Zustimmung des Bundesrates</w:t>
      </w:r>
    </w:p>
    <w:p>
      <w:pPr>
        <w:ind w:left="420"/>
      </w:pPr>
      <w:r>
        <w:t xml:space="preserve">1. zur Vereinfachung der Verwaltung oder aus wirtschaftlichen Gründen Ausnahmen vom Verpackungszwang zuzulassen und zu bestimmen, dass in einzelnen besonders gelagerten Fällen zur Vermeidung unbilliger Härten Ausnahmen im Verwaltungsweg gemacht werden dürfen,</w:t>
      </w:r>
    </w:p>
    <w:p>
      <w:pPr>
        <w:ind w:left="420"/>
      </w:pPr>
      <w:r>
        <w:t xml:space="preserve">2. zur Erleichterung der Steuererhebung durch Steuerzeichenverwendung den Inhalt der Kleinverkaufspackungen auf bestimmte Mengen zu begrenzen.</w:t>
      </w:r>
    </w:p>
    <w:p>
      <w:r>
        <w:rPr>
          <w:color w:val="555555"/>
          <w:sz w:val="17"/>
        </w:rPr>
        <w:t xml:space="preserve">Zitiervorschlag: § 16 TabStG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https://recht.nulegal.eu/gesetze/TabStG%202009/16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