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TZiWG (Bayern) — Aufrechterhaltung von Benutzungsrechten und Benutzungsbefugnissen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Beschränkte dingliche Rechte an den nach Art. 4, 5 oder 7 zu übereignenden Grundstücken werden, soweit sie nicht den Gegenstand der Ablösung bilden, unbeschadet des Art. 14 des Bayerischen Übergangsgesetzes zum Bürgerlichen Gesetzbuch von dem Eigentumswechsel nicht berührt.</w:t>
      </w:r>
    </w:p>
    <w:p>
      <w:r>
        <w:t xml:space="preserve">(2) Bestehen bezüglich der nach Art. 4, 5 oder 7 zu übereignenden Grundstücke schuldrechtliche Benutzungsbefugnisse, so treten die Berechtigten in die sich aus dem Rechtsverhältnis ergebenden Rechte und Pflichten ein.</w:t>
      </w:r>
    </w:p>
    <w:p>
      <w:r>
        <w:rPr>
          <w:color w:val="555555"/>
          <w:sz w:val="17"/>
        </w:rPr>
        <w:t xml:space="preserve">Zitiervorschlag: Art 9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