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42a TZiWG (Bayern) — Vollzug des Gesetzes im Forstamtsbezirk Benediktbeuern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Forstamtsbezirk Benediktbeuern bemißt sich die Ausgleichszahlung nach der Anlage 9. Die Anteile der Bringungsklassen und der Holzarten werden geschätzt.</w:t>
      </w:r>
    </w:p>
    <w:p>
      <w:r>
        <w:t xml:space="preserve">(2) Absatz 1 ist nicht anzuwenden, wenn der Berechtigte mit dem vereinfachten Verfahren nicht einverstanden ist.</w:t>
      </w:r>
    </w:p>
    <w:p>
      <w:r>
        <w:t xml:space="preserve">(3) Die Ablösung kann durch Vertrag erfolgen. In diesem Fall sind die Art. 6 bis 9 entsprechend anzuwenden. Die Art. 41 und 42 bleiben unberührt.</w:t>
      </w:r>
    </w:p>
    <w:p>
      <w:r>
        <w:rPr>
          <w:color w:val="555555"/>
          <w:sz w:val="17"/>
        </w:rPr>
        <w:t xml:space="preserve">Zitiervorschlag: Art 42a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https://recht.nulegal.eu/gesetze/TZiWG/42a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