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TZiWG (Bayern) — Waldgenossenschaften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Erhaltung des Waldes, zur Sicherung seiner Wohlfahrtswirkungen und zur Erleichterung seiner Bewirtschaftung haben die Berechtigten des Forstamtsbezirks Benediktbeuern je eine Waldgenossenschaft zu bilden für die Teilwaldungen.</w:t>
      </w:r>
    </w:p>
    <w:p>
      <w:r>
        <w:t xml:space="preserve">a) der Distrikte Heilbrunner Berg Mutzenkreut und Blümelsgraben,</w:t>
      </w:r>
    </w:p>
    <w:p>
      <w:r>
        <w:t xml:space="preserve">b) des Distrikts Hintersteinbach,</w:t>
      </w:r>
    </w:p>
    <w:p>
      <w:r>
        <w:t xml:space="preserve">c) der Distrikte Brand, Augraben und Lainwald,</w:t>
      </w:r>
    </w:p>
    <w:p>
      <w:r>
        <w:t xml:space="preserve">d) der Distrikte Rieder-Vorberg, Bichlholz, Vordergrabenholz, Hintergrabenholz, Bannholzzipfel, Etzgraben, Stocket und Oberfeldholz,</w:t>
      </w:r>
    </w:p>
    <w:p>
      <w:r>
        <w:t xml:space="preserve">e) der Distrikte Orterer Wald, Kochler-Berg, Mittlerer Aschgraben, Nördlicher Aschgraben, Angerholz, Kopfholz und Westerlaich.</w:t>
      </w:r>
    </w:p>
    <w:p>
      <w:r>
        <w:t xml:space="preserve">(2) Den Erfordernissen des Absatzes 1 wird entsprochen, wenn eine Betriebs- oder eine Wirtschaftsplan- oder Wirtschaftsgenossenschaft gebildet wird.</w:t>
      </w:r>
    </w:p>
    <w:p>
      <w:r>
        <w:t xml:space="preserve">(3) Die Vorschriften des § 1 Abs. 2, des § 2 Abs. 2 und 3, des § 3 und der §§ 5 bis 9 der Nutzungsrechte-Ablösungsverordnung vom 12. August 1953 (BayBS I S. 476) gelten entsprechend.</w:t>
      </w:r>
    </w:p>
    <w:p>
      <w:r>
        <w:rPr>
          <w:color w:val="555555"/>
          <w:sz w:val="17"/>
        </w:rPr>
        <w:t xml:space="preserve">Zitiervorschlag: Art 42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