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TZiWG (Bayern) — Rechtsmittel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Gegen die Ablösungsentscheidung der Forstrechtsstelle ist, unbeschadet des Abs. 2, der Verwaltungsrechtsweg ohne Vorverfahren zulässig.</w:t>
      </w:r>
    </w:p>
    <w:p>
      <w:r>
        <w:t xml:space="preserve">(2) Der Rechtsweg vor den ordentlichen Gerichten steht offen wegen</w:t>
      </w:r>
    </w:p>
    <w:p>
      <w:r>
        <w:t xml:space="preserve">1. der Höhe der bei der Übereignung nach Art. 4 und 5 zu leistenden Ausgleichszahlungen (Art. 11);</w:t>
      </w:r>
    </w:p>
    <w:p>
      <w:r>
        <w:t xml:space="preserve">2. des Werts der nach Art. 5 Abs. 1 und 2 Buchst. a) übertragenen Teilwald- oder Zinswaldgrundstücke;</w:t>
      </w:r>
    </w:p>
    <w:p>
      <w:r>
        <w:t xml:space="preserve">3. der Bestimmung des Anteilsverhältnisses nach Art. 4 Abs. 2 und Art. 5 Abs. 1 Satz 2 und Art. 5 Abs. 3;</w:t>
      </w:r>
    </w:p>
    <w:p>
      <w:r>
        <w:t xml:space="preserve">4. der Höhe der Geldabfindung in den Fällen des Art. 12;</w:t>
      </w:r>
    </w:p>
    <w:p>
      <w:r>
        <w:t xml:space="preserve">5. der Angemessenheit der Entschädigung des Drittberechtigten nach Art. 10 und</w:t>
      </w:r>
    </w:p>
    <w:p>
      <w:r>
        <w:t xml:space="preserve">6. der Höhe der Geldentschädigung nach Art. 14.</w:t>
      </w:r>
    </w:p>
    <w:p>
      <w:r>
        <w:t xml:space="preserve">(3) In den Fällen des Abs. 2 bedarf es keines Abhilfeverfahrens nach Art. 2 des Ausführungsgesetzes zur Zivilprozeßordnung und Konkursordnung. Die Klage muß innerhalb eines Monats nach Eintritt der Unanfechtbarkeit der nach Abs. 1 anfechtbaren Teile der Ablösungsentscheidung erhoben werden.</w:t>
      </w:r>
    </w:p>
    <w:p>
      <w:r>
        <w:rPr>
          <w:color w:val="555555"/>
          <w:sz w:val="17"/>
        </w:rPr>
        <w:t xml:space="preserve">Zitiervorschlag: Art 36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