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TZiWG (Bayern) — Berechtigte und Verpflichtete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Berechtigte im Sinn dieses Gesetzes sind die Eigentümer der Anwesen, mit denen Holznutzungsrechte und -vergünstigungen der in Art. 1 genannten Art verbunden sind, sowie die Gemeinden, zu deren Gunsten solche Holznutzungsrechte und -vergünstigungen bestehen.</w:t>
      </w:r>
    </w:p>
    <w:p>
      <w:r>
        <w:t xml:space="preserve">(2) Verpflichtete im Sinn dieses Gesetzes sind die Eigentümer der Grundstücke, die mit Holznutzungsrechten und -vergünstigungen der in Art. 1 genannten Art belastet sind.</w:t>
      </w:r>
    </w:p>
    <w:p>
      <w:r>
        <w:rPr>
          <w:color w:val="555555"/>
          <w:sz w:val="17"/>
        </w:rPr>
        <w:t xml:space="preserve">Zitiervorschlag: Art 3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