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TZiWG (Bayern) — Mitteilungspflichten der Forstrechtsstelle und des Grundbuchamts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Vorsitzende der Forstrechtsstelle teilt dem Grundbuchamt die Einleitung des Ablösungsverfahrens mit. Das Grundbuchamt hat die Teil- und Zinswaldkommission von allen Eintragungen zu benachrichtigen, die nach Einleitung des Verfahrens auf den Grundbuchblättern der belasteten und der herrschenden Grundstücke vorgenommen worden sind oder vorgenommen werden.</w:t>
      </w:r>
    </w:p>
    <w:p>
      <w:r>
        <w:t xml:space="preserve">(2) Ist im Grundbuch die Anordnung der Zwangsversteigerung oder Zwangsverwaltung hinsichtlich eines Grundstücks eingetragen, zu dessen Gunsten Rechte auf Holznutzung nach Art. 1 bestehen, so gibt der Vorsitzende der Forstrechtsstelle dem Vollstreckungsgericht von der Einleitung des Verfahrens Kenntnis.</w:t>
      </w:r>
    </w:p>
    <w:p>
      <w:r>
        <w:rPr>
          <w:color w:val="555555"/>
          <w:sz w:val="17"/>
        </w:rPr>
        <w:t xml:space="preserve">Zitiervorschlag: Art 28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