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TZiWG (Bayern) — Zustellung und Bekanntmachung der Einleitungsverfügung, Anmeldung von Rechten Drittberechtigter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Einleitungsverfügung ist den Beteiligten zuzustellen. Sie ist außerdem im Amtsblatt des Landkreises öffentlich bekanntzumachen.</w:t>
      </w:r>
    </w:p>
    <w:p>
      <w:r>
        <w:t xml:space="preserve">(2) In der Bekanntmachung sind die Drittberechtigten, deren Rechte aus dem Grundbuch nicht ersichtlich sind, unter Hinweis auf Satz 2 aufzufordern, ihre Rechte bei der Forstrechtsstelle anzumelden. Rechte, die nach Schluß der letzten mündlichen Verhandlung angemeldet werden, bleiben unberücksichtigt.</w:t>
      </w:r>
    </w:p>
    <w:p>
      <w:r>
        <w:rPr>
          <w:color w:val="555555"/>
          <w:sz w:val="17"/>
        </w:rPr>
        <w:t xml:space="preserve">Zitiervorschlag: Art 27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