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TZiWG (Bayern) — Einleitung des Verfahrens nach Ablösungsbezirken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Forstrechtsstelle verfügt jeweils für einen bestimmten Teil des Teil- und Zinswaldgebiets (Ablösungsbezirk) die Einleitung des Ablösungsverfahrens.</w:t>
      </w:r>
    </w:p>
    <w:p>
      <w:r>
        <w:t xml:space="preserve">(2) Die Einleitungsverfügung muß enthalten</w:t>
      </w:r>
    </w:p>
    <w:p>
      <w:r>
        <w:t xml:space="preserve">a) die Beschreibung des Ablösungsbezirks unter grundbuchmäßiger Bezeichnung der in Betracht kommenden belasteten Grundstücke,</w:t>
      </w:r>
    </w:p>
    <w:p>
      <w:r>
        <w:t xml:space="preserve">b) die namentliche Bezeichnung der Berechtigten und Verpflichteten und</w:t>
      </w:r>
    </w:p>
    <w:p>
      <w:r>
        <w:t xml:space="preserve">c) die grundbuchmäßige Bezeichnung der Grundstücke, zu deren Gunsten die abzulösenden Holznutzungsrechte und -vergünstigungen bestehen.</w:t>
      </w:r>
    </w:p>
    <w:p>
      <w:r>
        <w:rPr>
          <w:color w:val="555555"/>
          <w:sz w:val="17"/>
        </w:rPr>
        <w:t xml:space="preserve">Zitiervorschlag: Art 26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