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 TZiWG (Bayern) — Vertretung des Freistaates Bayern</w:t>
      </w:r>
    </w:p>
    <w:p>
      <w:r>
        <w:rPr>
          <w:color w:val="555555"/>
          <w:sz w:val="18"/>
        </w:rPr>
        <w:t xml:space="preserve">Gesetz über die Teil- und Zinswaldungen in den Forstamtsbezirken Benediktbeuern, Fall, Jachenau und Walchensee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der Freistaat Bayern Beteiligter ist, wird er im Verfahren vor der Forstrechtsstelle von der Bezirksfinanzdirektion München vertreten. § 15 Abs. 1 und 3 der Vertretungsverordnung vom 18.2.1959 (GVBl. S. 97) in der Fassung der Bekanntmachung vom 24.3.1960 (GVBl. S. 33) gilt entsprechend.</w:t>
      </w:r>
    </w:p>
    <w:p>
      <w:r>
        <w:rPr>
          <w:color w:val="555555"/>
          <w:sz w:val="17"/>
        </w:rPr>
        <w:t xml:space="preserve">Zitiervorschlag: Art 24 TZiWG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https://recht.nulegal.eu/gesetze/TZiWG/24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