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TZiWG (Bayern) — Waldaufnahme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Zum Zwecke der Waldaufnahme sind zunächst die Grenzen der Teilwald- und der Zinswaldgrundstücke, soweit letztere nicht von ein- und demselben Berechtigten genutzt werden, im Gelände kenntlich zu machen; den Berechtigten und Verpflichteten ist Gelegenheit zu geben, dabei mitzuwirken. Über das Ergebnis der Grenzermittlung ist eine Niederschrift anzufertigen, die von den Berechtigten und Verpflichteten zu unterzeichnen ist.</w:t>
      </w:r>
    </w:p>
    <w:p>
      <w:r>
        <w:t xml:space="preserve">(2) Für jeden Teilwald- und Zinswaldbetrieb ist eine maßstabgerechte Kartenskizze zu fertigen.</w:t>
      </w:r>
    </w:p>
    <w:p>
      <w:r>
        <w:t xml:space="preserve">(3) Die Waldaufnahme hat alle den Wert der Teilwald- und Zinswaldgrundstücke bestimmenden Gegebenheiten zu erfassen. Insbesondere sind zu ermitteln: Grenzen und Ausmaß der Holzbodenflächen, getrennt nach Wirtschaftswald im regelmäßigen Betrieb (i.r.B.) und Wirtschaftswald außer regelmäßigem Betrieb (a.r.B.) sowie Grenzen und Ausmaß der Nichtholzboden- und Unlandflächen, ferner für die Holzbodenflächen Bestandsalter, Holzartenanteile, Ertragsklassen, Nutzungsentgang, Bestockungsgrad, mutmaßlicher Mittelstammdurchmesser am Ende der Umtriebszeit, Bringungsklasse und Qualitätsklasse.</w:t>
      </w:r>
    </w:p>
    <w:p>
      <w:r>
        <w:t xml:space="preserve">(4) In den mehr als achtzig Jahren alten Beständen des Wirtschaftswaldes im regelmäßigen Betrieb ist die Waldaufnahme mit Hilfe stammweiser Messung auf ganzer Fläche oder Teilfläche vorzunehmen .; in den übrigen Beständen genügt eine gutachtliche Feststellung des Waldzustandes, soweit nicht im Einzelfall aus besonderen Gründen eine eingehendere Erhebung (Näherungsverfahren oder Vollaufnahme) notwendig erscheint.</w:t>
      </w:r>
    </w:p>
    <w:p>
      <w:r>
        <w:t xml:space="preserve">(5) Für Fichte und die übrigen Nadelholzarten ist die Ertragstafel „Wiedemann, Fichte mäßige Durchforstung, 1936/42“, für Buche und die übrigen Laubholzarten die Ertragstafel „Wiedemann, Buche mäßige Durchforstung, 1931 B“ zu verwenden.</w:t>
      </w:r>
    </w:p>
    <w:p>
      <w:r>
        <w:t xml:space="preserve">(6) Das Massenberechnungsverfahren von v. Laer-Spiecker ist anzuwenden.</w:t>
      </w:r>
    </w:p>
    <w:p>
      <w:r>
        <w:rPr>
          <w:color w:val="555555"/>
          <w:sz w:val="17"/>
        </w:rPr>
        <w:t xml:space="preserve">Zitiervorschlag: Art 16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