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TZiWG (Bayern) — Allgemeines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Ermittlung der forstlichen Gegebenheiten in den Teil- und Zinswaldungen ist nach der Forsteinrichtungsanweisung für die Bayerischen Staatswaldungen, Ausgabe 1951, und nach den in der Staatsforstverwaltung angewandten forstlichen Grundsätzen zu verfahren. Für die Bewertung der Teil- und Zinswaldbetriebe sowie für die Bewertung der Rechtholz- und Vergünstigungsholzbezüge sind ebenfalls die in der Staatsforstverwaltung angewandten forstlichen Grundsätze zu beachten. Dies gilt nicht, soweit dieses Gesetz und seine Anlagen eine besondere Regelung treffen.</w:t>
      </w:r>
    </w:p>
    <w:p>
      <w:r>
        <w:t xml:space="preserve">(2) Wenn in den folgenden Bestimmungen der Abschluß der Waldaufnahme maßgebend ist, ist darunter jeweils der Abschluß der Waldaufnahme in einem Forstamtsbezirk zu verstehen, soweit die Bestimmungen nicht ausdrücklich anderes festlegen.</w:t>
      </w:r>
    </w:p>
    <w:p>
      <w:r>
        <w:rPr>
          <w:color w:val="555555"/>
          <w:sz w:val="17"/>
        </w:rPr>
        <w:t xml:space="preserve">Zitiervorschlag: Art 15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