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TZiWG (Bayern) — Voraussetzung der Ablösung und Höhe der Entschädigung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übereinstimmenden Antrag des Berechtigten und des Verpflichteten ist die Ablösung gegen Geldentschädigung vorzunehmen; Konsorten können den Antrag nur gemeinsam stellen. Die Geldentschädigung bemißt sich, soweit die Holznutzungsrechte und -vergünstigungen auf Holzbodenflächen lasten, nach dem in Art. 5 Abs. 2 Buchst. a) bezeichneten Wert, soweit sie auf Nichtholzbodenflächen lasten, nach dem Erwartungswert der Holznutzungsbefugnis. Eine Belastung von Unlandflächen und Wegen bleibt unberücksichtigt.</w:t>
      </w:r>
    </w:p>
    <w:p>
      <w:r>
        <w:t xml:space="preserve">(2) Art. 12 Abs. 2 und Art. 13 Abs. 1 dieses Gesetzes sowie Art. 24 Abs. 2 des Gesetzes über die Forstrechte gelten entsprechend.</w:t>
      </w:r>
    </w:p>
    <w:p>
      <w:r>
        <w:rPr>
          <w:color w:val="555555"/>
          <w:sz w:val="17"/>
        </w:rPr>
        <w:t xml:space="preserve">Zitiervorschlag: Art 14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