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TZiWG (Bayern) — Zahlungsvorschriften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Ausgleichszahlungen und Geldabfindungen sind binnen drei Monaten nach dem Zeitpunkt zu leisten, in welchem die Ablösung der in Art. 1 bezeichneten Holznutzungsrechte und -vergünstigungen wirksam wird. Eine Verzinsung findet während dieses Zeitraumes nicht statt.</w:t>
      </w:r>
    </w:p>
    <w:p>
      <w:r>
        <w:t xml:space="preserve">(2) Auf Antrag des Berechtigten soll diesem in begründeten Fällen bei der Ablösung gestattet werden, seine Zahlungsverbindlichkeiten in höchstens sieben Jahresraten zu tilgen; dies gilt auch hinsichtlich der anteiligen Zahlungsverpflichtung eines Konsorten. Die jeweiligen Restbeträge sind mit vier vom Hundert zu verzinsen.</w:t>
      </w:r>
    </w:p>
    <w:p>
      <w:r>
        <w:t xml:space="preserve">(3) Bei Zahlungsverzug sind Verzugszinsen in Höhe von sechs vom Hundert zu entrichten.</w:t>
      </w:r>
    </w:p>
    <w:p>
      <w:r>
        <w:rPr>
          <w:color w:val="555555"/>
          <w:sz w:val="17"/>
        </w:rPr>
        <w:t xml:space="preserve">Zitiervorschlag: Art 13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