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TV_Forst_AnschlTV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kann mit einer Frist von einer Woche zum Monatsschluss gekündigt werden. Die in § 1 Nrn. 1 bis 6 genannten Tarifverträge treten jeweils außer Kraft, wenn das materielle Tarifrecht gegenüber einer der dort bezeichneten vertragsschließenden Parteien außer Kraft tritt. In beiden Fällen wird die Nachwirkung gemäß § 4 Abs. 5 des Tarifvertragsgesetzes ausgeschlossen.</w:t>
      </w:r>
    </w:p>
    <w:p>
      <w:r>
        <w:rPr>
          <w:color w:val="555555"/>
          <w:sz w:val="17"/>
        </w:rPr>
        <w:t xml:space="preserve">Zitiervorschlag: § 2 TV_Forst_AnschlTV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https://recht.nulegal.eu/gesetze/TV_Forst_AnschlTV/2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