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TV_ForstAendTV_3_5_DBB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kann mit einer Frist von einer Woche zum Monatsschluss gekündigt werden. Die in § 1 Nrn. 1 bis 9 genannten Tarifverträge treten jeweils außer Kraft, wenn das materielle Tarifrecht gegenüber einer der dort bezeichneten vertragsschließenden Parteien außer Kraft tritt. In beiden Fällen wird die Nachwirkung gemäß § 4 Absatz 5 des Tarifvertragsgesetzes ausgeschlossen.</w:t>
      </w:r>
    </w:p>
    <w:p>
      <w:r>
        <w:rPr>
          <w:color w:val="555555"/>
          <w:sz w:val="17"/>
        </w:rPr>
        <w:t xml:space="preserve">Zitiervorschlag: § 2 TV_ForstAendTV_3_5_DBB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https://recht.nulegal.eu/gesetze/TV_ForstAendTV_3_5_DBB/2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