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TV_ForstAendTV_1_DBB (Bayern)</w:t>
      </w:r>
    </w:p>
    <w:p>
      <w:r>
        <w:rPr>
          <w:color w:val="555555"/>
          <w:sz w:val="18"/>
        </w:rPr>
        <w:t xml:space="preserve">Anschlusstarifvertrag für Beschäftigte in forstwirtschaftlichen Verwaltungen, Einrichtungen und Betrieben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Dieser Tarifvertrag kann mit einer Frist von einer Woche zum Monatsschluss gekündigt werden. Die in § 1 Nrn. 1 bis 6 genannten Tarifverträge treten jeweils außer Kraft, wenn das materielle Tarifrecht gegenüber einer der dort bezeichneten vertragsschließenden Parteien außer Kraft tritt. In beiden Fällen wird die Nachwirkung gemäß § 4 Abs. 5 des Tarifvertragsgesetzes ausgeschlossen.</w:t>
      </w:r>
    </w:p>
    <w:p>
      <w:r>
        <w:rPr>
          <w:color w:val="555555"/>
          <w:sz w:val="17"/>
        </w:rPr>
        <w:t xml:space="preserve">Zitiervorschlag: § 2 TV_ForstAendTV_1_DBB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https://recht.nulegal.eu/gesetze/TV_ForstAendTV_1_DBB/2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