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TV_EinmalzForst_2011 (Bayern) — Geltungsbereich</w:t>
      </w:r>
    </w:p>
    <w:p>
      <w:r>
        <w:rPr>
          <w:color w:val="555555"/>
          <w:sz w:val="18"/>
        </w:rPr>
        <w:t xml:space="preserve">Tarifvertrag über Einmalzahlungen – Forst 2011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Dieser Tarifvertrag gilt für Beschäftigte und Auszubildende, die unter den Geltungsbereich eines der nachstehenden Tarifverträge fallen:</w:t>
      </w:r>
    </w:p>
    <w:p>
      <w:r>
        <w:t xml:space="preserve">a) Tarifvertrag zur Regelung der Arbeitsbedingungen von Beschäftigten in forstwirtschaftlichen Verwaltungen, Einrichtungen und Betrieben der Länder (TV-L-Forst),</w:t>
      </w:r>
    </w:p>
    <w:p>
      <w:r>
        <w:t xml:space="preserve">b) Tarifvertrag für Auszubildende zum Forstwirt in forstwirtschaftlichen Verwaltungen, Einrichtungen und Betrieben der Länder (TVA-L-Forst).</w:t>
      </w:r>
    </w:p>
    <w:p>
      <w:r>
        <w:rPr>
          <w:color w:val="555555"/>
          <w:sz w:val="17"/>
        </w:rPr>
        <w:t xml:space="preserve">Zitiervorschlag: § 1 TV_EinmalzForst_2011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https://recht.nulegal.eu/gesetze/TV_EinmalzForst_2011/1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