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TV_EinmalzForst_2007 (Bayern) — Geltungsbereich</w:t>
      </w:r>
    </w:p>
    <w:p>
      <w:r>
        <w:rPr>
          <w:color w:val="555555"/>
          <w:sz w:val="18"/>
        </w:rPr>
        <w:t xml:space="preserve">Tarifvertrag über Einmalzahlungen –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gilt für</w:t>
      </w:r>
    </w:p>
    <w:p>
      <w:r>
        <w:t xml:space="preserve">a) Beschäftigte, die unter den Geltungsbereich des Tarifvertrages für Beschäftigte in forstwirtschaftlichen Verwaltungen, Einrichtungen und Betrieben der Länder – TV-Forst – fallen,</w:t>
      </w:r>
    </w:p>
    <w:p>
      <w:r>
        <w:t xml:space="preserve">b) zum Forstwirt Auszubildende in forstwirtschaftlichen Verwaltungen, Einrichtungen und Betrieben der Länder.</w:t>
      </w:r>
    </w:p>
    <w:p>
      <w:r>
        <w:rPr>
          <w:color w:val="555555"/>
          <w:sz w:val="17"/>
        </w:rPr>
        <w:t xml:space="preserve">Zitiervorschlag: § 1 TV_EinmalzForst_2007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https://recht.nulegal.eu/gesetze/TV_EinmalzForst_2007/1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TV_EinmalzForst_2007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