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TVMindestlohn VFlughSiK — Entgeltstruktur</w:t>
      </w:r>
    </w:p>
    <w:p>
      <w:r>
        <w:rPr>
          <w:color w:val="555555"/>
          <w:sz w:val="18"/>
        </w:rPr>
        <w:t xml:space="preserve">Rechtsnormen des Entgelttarifvertrags für Sicherheitskräfte an Verkehrsflughäfen vom 24. Januar 2019</w:t>
      </w:r>
    </w:p>
    <w:p>
      <w:r>
        <w:rPr>
          <w:color w:val="555555"/>
          <w:sz w:val="18"/>
        </w:rPr>
        <w:t xml:space="preserve">Historische Fassung: Stand 01.06.2021 bis 01.01.2022. Dies ist nicht die aktuelle Fassung.</w:t>
      </w:r>
    </w:p>
    <w:p>
      <w:r>
        <w:t xml:space="preserve">(1) In der Anlage 1 zum Entgelttarifvertrag sind übergangsweise länderbezogen Stundenentgelte und Regelentgelte tarifiert. Beschäftigte, die unter die in § 3 genannten Entgeltgruppen fallen, haben Anspruch auf die in der Anlage 1 zum Entgelttarifvertrag übergangsweise länderbezogen geregelten Stundenentgelte und Regelentgelte. Die Stundenentgelte in den Entgeltgruppen II bis IV sind zugleich Mindestentgelte im Sinne des § 5 Satz 1 Nummer 1 des Arbeitnehmer-Entsendegesetzes. Für die Höhe des Entgelts ist der Ort der Arbeitsleistung maßgeblich, also der Ort, an dem die Arbeit aufgenommen und beendet wird.</w:t>
      </w:r>
    </w:p>
    <w:p>
      <w:r>
        <w:t xml:space="preserve">[§ 2 Absatz 2, 3 und 4 sind von der Verordnung nicht umfasst und daher nicht abgedruckt.]</w:t>
      </w:r>
    </w:p>
    <w:p>
      <w:r>
        <w:rPr>
          <w:color w:val="555555"/>
          <w:sz w:val="17"/>
        </w:rPr>
        <w:t xml:space="preserve">Zitiervorschlag: § 2 TVMindestlohn VFlughSiK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https://recht.nulegal.eu/gesetze/TVMindestlohn%20VFlughSiK/2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