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TVMindestlohn 2020 — Geltungsbereich</w:t>
      </w:r>
    </w:p>
    <w:p>
      <w:r>
        <w:rPr>
          <w:color w:val="555555"/>
          <w:sz w:val="18"/>
        </w:rPr>
        <w:t xml:space="preserve">Rechtsnormen des Tarifvertrags zur Regelung der Mindestlöhne im Baugewerbe im Gebiet der Bundesrepublik Deutschland (TV Mindestlohn) vom 17. Januar 2020</w:t>
      </w:r>
    </w:p>
    <w:p>
      <w:r>
        <w:rPr>
          <w:color w:val="555555"/>
          <w:sz w:val="18"/>
        </w:rPr>
        <w:t xml:space="preserve">Historische Fassung: Stand 05.04.2020 bis 01.01.2021. Dies ist nicht die aktuelle Fassung.</w:t>
      </w:r>
    </w:p>
    <w:p>
      <w:r>
        <w:t xml:space="preserve">(1) Räumlicher Geltungsbereich:</w:t>
      </w:r>
    </w:p>
    <w:p>
      <w:r>
        <w:t xml:space="preserve">Das Gebiet der Bundesrepublik Deutschland.</w:t>
      </w:r>
    </w:p>
    <w:p>
      <w:r>
        <w:t xml:space="preserve">(2) Betrieblicher Geltungsbereich:</w:t>
      </w:r>
    </w:p>
    <w:p>
      <w:r>
        <w:t xml:space="preserve">Betriebe, die unter den betrieblichen Geltungsbereich des Bundesrahmentarifvertrags für das Baugewerbe (BRTV) in der jeweils geltenden Fassung (Anhang) fallen.</w:t>
      </w:r>
    </w:p>
    <w:p>
      <w:r>
        <w:t xml:space="preserve">(3) Persönlicher Geltungsbereich:</w:t>
      </w:r>
    </w:p>
    <w:p>
      <w:r>
        <w:t xml:space="preserve">Gewerbliche Arbeitnehmer (Arbeiter), die eine nach den Vorschriften des Sechsten Buches Sozialgesetzbuch – Gesetzliche Rentenversicherung – versicherungspflichtige Tätigkeit ausüben.</w:t>
      </w:r>
    </w:p>
    <w:p>
      <w:r>
        <w:t xml:space="preserve">Nicht erfasst werden</w:t>
      </w:r>
    </w:p>
    <w:p>
      <w:pPr>
        <w:ind w:left="420"/>
      </w:pPr>
      <w:r>
        <w:t xml:space="preserve">1. Schüler an allgemeinbildenden Schulen mit Ausnahme der Schüler an Abendschulen und -kollegs,</w:t>
      </w:r>
    </w:p>
    <w:p>
      <w:pPr>
        <w:ind w:left="420"/>
      </w:pPr>
      <w:r>
        <w:t xml:space="preserve">2. Schulabgänger, die innerhalb von 12 Monaten nach Beendigung ihrer Schulausbildung bis zu einer Gesamtdauer von 50 Arbeitstagen beschäftigt werden,</w:t>
      </w:r>
    </w:p>
    <w:p>
      <w:pPr>
        <w:ind w:left="420"/>
      </w:pPr>
      <w:r>
        <w:t xml:space="preserve">3. Arbeitnehmer, soweit sie außerhalb ihrer Arbeitszeit Beförderungsleistungen nach § 5 Nummer 4.4 BRTV übernehmen,</w:t>
      </w:r>
    </w:p>
    <w:p>
      <w:pPr>
        <w:ind w:left="420"/>
      </w:pPr>
      <w:r>
        <w:t xml:space="preserve">4. gewerbliches Reinigungspersonal, das für Reinigungsarbeiten in Verwaltungs- und Sozialräumen des Betriebs beschäftigt wird.</w:t>
      </w:r>
    </w:p>
    <w:p>
      <w:r>
        <w:rPr>
          <w:color w:val="555555"/>
          <w:sz w:val="17"/>
        </w:rPr>
        <w:t xml:space="preserve">Zitiervorschlag: § 1 TVMindestlohn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https://recht.nulegal.eu/gesetze/TVMindestlohn%202020/1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