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TVGDV</w:t>
      </w:r>
    </w:p>
    <w:p>
      <w:r>
        <w:rPr>
          <w:color w:val="555555"/>
          <w:sz w:val="18"/>
        </w:rPr>
        <w:t xml:space="preserve">Verordnung zur Durchführung des Tarifvertragsgesetzes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Arbeitgeber und Arbeitnehmer, für die der Tarifvertrag infolge der Allgemeinverbindlicherklärung verbindlich ist, können von einer der Tarifvertragsparteien eine Abschrift des Tarifvertrages gegen Erstattung der Selbstkosten verlangen. § 5 Satz 2 und 3 gilt entsprechend.</w:t>
      </w:r>
    </w:p>
    <w:p>
      <w:r>
        <w:t xml:space="preserve">(2) Die in Absatz 1 genannten Arbeitgeber haben die für allgemeinverbindlich erklärten Tarifverträge an geeigneter Stelle im Betrieb auszulegen.</w:t>
      </w:r>
    </w:p>
    <w:p>
      <w:r>
        <w:rPr>
          <w:color w:val="555555"/>
          <w:sz w:val="17"/>
        </w:rPr>
        <w:t xml:space="preserve">Zitiervorschlag: § 9 TVGDV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https://recht.nulegal.eu/gesetze/TVGDV/9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