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TVGDV</w:t>
      </w:r>
    </w:p>
    <w:p>
      <w:r>
        <w:rPr>
          <w:color w:val="555555"/>
          <w:sz w:val="18"/>
        </w:rPr>
        <w:t xml:space="preserve">Verordnung zur Durchführung des Tarifvertragsgesetzes</w:t>
      </w:r>
    </w:p>
    <w:p>
      <w:r>
        <w:rPr>
          <w:color w:val="555555"/>
          <w:sz w:val="18"/>
        </w:rPr>
        <w:t xml:space="preserve">Stand: 10.06.2019 (konsolidierte Textfassung, kein amtliches Inkrafttretensdatum)</w:t>
      </w:r>
    </w:p>
    <w:p>
      <w:r>
        <w:t xml:space="preserve">Die Allgemeinverbindlicherklärung bedarf des Einvernehmens mit dem Tarifausschuß. Mit der Allgemeinverbindlicherklärung bestimmt das Bundesministerium für Arbeit und Soziales im Benehmen mit dem Tarifausschuß den Zeitpunkt des Beginns der Allgemeinverbindlichkeit. Dieser liegt, sofern es sich nicht um die Erneuerung oder Änderung eines bereits für allgemeinverbindlich erklärten Tarifvertrages handelt, in aller Regel nicht vor dem Tage der Bekanntmachung des Antrages.</w:t>
      </w:r>
    </w:p>
    <w:p>
      <w:r>
        <w:rPr>
          <w:color w:val="555555"/>
          <w:sz w:val="17"/>
        </w:rPr>
        <w:t xml:space="preserve">Zitiervorschlag: § 7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