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TVGDV</w:t>
      </w:r>
    </w:p>
    <w:p>
      <w:r>
        <w:rPr>
          <w:color w:val="555555"/>
          <w:sz w:val="18"/>
        </w:rPr>
        <w:t xml:space="preserve">Verordnung zur Durchführung des Tarifvertragsgesetzes</w:t>
      </w:r>
    </w:p>
    <w:p>
      <w:r>
        <w:rPr>
          <w:color w:val="555555"/>
          <w:sz w:val="18"/>
        </w:rPr>
        <w:t xml:space="preserve">Stand: 01.07.2021 (konsolidierte Textfassung, kein amtliches Inkrafttretensdatum)</w:t>
      </w:r>
    </w:p>
    <w:p>
      <w:r>
        <w:t xml:space="preserve">(1) Die Beschlüsse des Tarifausschusses bedürfen der Stimmen der Mehrheit seiner Mitglieder. Der Beauftragte des Bundesministeriums für Arbeit und Soziales hat kein Stimmrecht.</w:t>
      </w:r>
    </w:p>
    <w:p>
      <w:r>
        <w:t xml:space="preserve">(2) Die Beschlüsse des Tarifausschusses sind schriftlich niederzulegen und von den Mitgliedern, die bei dem Beschluß mitgewirkt haben, zu unterschreiben. Ist ein Mitglied verhindert, seine Unterschrift beizufügen, so ist dies von dem lebensältesten Mitglied der Seite, der das verhinderte Mitglied angehört, unter dem Beschluß zu vermerken.</w:t>
      </w:r>
    </w:p>
    <w:p>
      <w:r>
        <w:t xml:space="preserve">(3) Nimmt ein Mitglied mittels Video- oder Telefonkonferenz an der Beratung des Tarifausschusses teil, so übermittelt das Bundesministerium für Arbeit und Soziales ihm den Beschluss auf elektronischem Wege in Textform im Rahmen der Beratung des Tarifausschusses. Das Mitglied bestätigt die Beschlussfassung abweichend von Absatz 2 Satz 1 auf elektronischem Wege in Textform vor Abschluss der Beratung.</w:t>
      </w:r>
    </w:p>
    <w:p>
      <w:r>
        <w:rPr>
          <w:color w:val="555555"/>
          <w:sz w:val="17"/>
        </w:rPr>
        <w:t xml:space="preserve">Zitiervorschlag: § 3 TVGDV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https://recht.nulegal.eu/gesetze/TVGDV/3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