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TVGDV</w:t>
      </w:r>
    </w:p>
    <w:p>
      <w:r>
        <w:rPr>
          <w:color w:val="555555"/>
          <w:sz w:val="18"/>
        </w:rPr>
        <w:t xml:space="preserve">Verordnung zur Durchführung des Tarifvertragsgesetzes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(1) Die Verhandlungen und Beratungen des Tarifausschusses leitet ein Beauftragter des Bundesministeriums für Arbeit und Soziales. Die Verhandlungen sind öffentlich, die Beratungen nicht öffentlich.</w:t>
      </w:r>
    </w:p>
    <w:p>
      <w:r>
        <w:t xml:space="preserve">(2) Der Tarifausschuß ist beschlußfähig, wenn alle Mitglieder anwesend sind. Wer an den Verhandlungen oder Beratungen mittels Video- oder Telefonkonferenz teilnimmt, gilt als anwesend.</w:t>
      </w:r>
    </w:p>
    <w:p>
      <w:r>
        <w:rPr>
          <w:color w:val="555555"/>
          <w:sz w:val="17"/>
        </w:rPr>
        <w:t xml:space="preserve">Zitiervorschlag: § 2 TVGDV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https://recht.nulegal.eu/gesetze/TVGDV/2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