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TVGDV</w:t>
      </w:r>
    </w:p>
    <w:p>
      <w:r>
        <w:rPr>
          <w:color w:val="555555"/>
          <w:sz w:val="18"/>
        </w:rPr>
        <w:t xml:space="preserve">Verordnung zur Durchführung des Tarifvertragsgesetzes</w:t>
      </w:r>
    </w:p>
    <w:p>
      <w:r>
        <w:rPr>
          <w:color w:val="555555"/>
          <w:sz w:val="18"/>
        </w:rPr>
        <w:t xml:space="preserve">Stand: 01.07.2021 (konsolidierte Textfassung, kein amtliches Inkrafttretensdatum)</w:t>
      </w:r>
    </w:p>
    <w:p>
      <w:r>
        <w:t xml:space="preserve">Das Bundesministerium für Arbeit und Soziales errichtet den in § 5 des Tarifvertragsgesetzes vorgesehenen Ausschuß (Tarifausschuß). Es bestellt für die Dauer von vier Jahren je drei Vertreter der Spitzenorganisationen der Arbeitgeber und der Arbeitnehmer als Mitglieder sowie mindestens je drei weitere als stellvertretende Mitglieder auf Grund von Vorschlägen dieser Organisationen.</w:t>
      </w:r>
    </w:p>
    <w:p>
      <w:r>
        <w:rPr>
          <w:color w:val="555555"/>
          <w:sz w:val="17"/>
        </w:rPr>
        <w:t xml:space="preserve">Zitiervorschlag: § 1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