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TVG — Tarifregister</w:t>
      </w:r>
    </w:p>
    <w:p>
      <w:r>
        <w:rPr>
          <w:color w:val="555555"/>
          <w:sz w:val="18"/>
        </w:rPr>
        <w:t xml:space="preserve">Tarifvertragsgesetz</w:t>
      </w:r>
    </w:p>
    <w:p>
      <w:r>
        <w:rPr>
          <w:color w:val="555555"/>
          <w:sz w:val="18"/>
        </w:rPr>
        <w:t xml:space="preserve">Stand: 01.05.2026 (konsolidierte Textfassung, kein amtliches Inkrafttretensdatum)</w:t>
      </w:r>
    </w:p>
    <w:p>
      <w:r>
        <w:t xml:space="preserve">Bei dem Bundesministerium für Arbeit und Soziales wird ein Tarifregister geführt, in das der Abschluss, die Änderung und die Aufhebung der Tarifverträge, der Beginn und die Beendigung der Allgemeinverbindlichkeit sowie der Beginn und die Beendigung der verbindlichen Erstreckung von tariflichen Arbeitsbedingungen in einer Rechtsverordnung eingetragen werden.</w:t>
      </w:r>
    </w:p>
    <w:p>
      <w:r>
        <w:rPr>
          <w:color w:val="555555"/>
          <w:sz w:val="17"/>
        </w:rPr>
        <w:t xml:space="preserve">Zitiervorschlag: § 6 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