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3 TVG — Tarifgebundenheit</w:t>
      </w:r>
    </w:p>
    <w:p>
      <w:r>
        <w:rPr>
          <w:color w:val="555555"/>
          <w:sz w:val="18"/>
        </w:rPr>
        <w:t xml:space="preserve">Tarifvertragsgesetz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Tarifgebunden sind die Mitglieder der Tarifvertragsparteien und der Arbeitgeber, der selbst Partei des Tarifvertrags ist.</w:t>
      </w:r>
    </w:p>
    <w:p>
      <w:r>
        <w:t xml:space="preserve">(2) Rechtsnormen des Tarifvertrags über betriebliche und betriebsverfassungsrechtliche Fragen gelten für alle Betriebe, deren Arbeitgeber tarifgebunden ist.</w:t>
      </w:r>
    </w:p>
    <w:p>
      <w:r>
        <w:t xml:space="preserve">(3) Die Tarifgebundenheit bleibt bestehen, bis der Tarifvertrag endet.</w:t>
      </w:r>
    </w:p>
    <w:p>
      <w:r>
        <w:rPr>
          <w:color w:val="555555"/>
          <w:sz w:val="17"/>
        </w:rPr>
        <w:t xml:space="preserve">Zitiervorschlag: § 3 TVG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https://recht.nulegal.eu/gesetze/TVG/3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